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6F4" w:rsidRDefault="009F66F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F66F4" w:rsidRDefault="009F66F4">
      <w:pPr>
        <w:pStyle w:val="ConsPlusNormal"/>
        <w:jc w:val="both"/>
        <w:outlineLvl w:val="0"/>
      </w:pPr>
    </w:p>
    <w:p w:rsidR="009F66F4" w:rsidRDefault="009F66F4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9F66F4" w:rsidRDefault="009F66F4">
      <w:pPr>
        <w:pStyle w:val="ConsPlusTitle"/>
        <w:jc w:val="center"/>
      </w:pPr>
    </w:p>
    <w:p w:rsidR="009F66F4" w:rsidRDefault="009F66F4">
      <w:pPr>
        <w:pStyle w:val="ConsPlusTitle"/>
        <w:jc w:val="center"/>
      </w:pPr>
      <w:r>
        <w:t>ПИСЬМО</w:t>
      </w:r>
    </w:p>
    <w:p w:rsidR="009F66F4" w:rsidRDefault="009F66F4">
      <w:pPr>
        <w:pStyle w:val="ConsPlusTitle"/>
        <w:jc w:val="center"/>
      </w:pPr>
      <w:r>
        <w:t>от 4 мая 2016 г. N АК-950/02</w:t>
      </w:r>
    </w:p>
    <w:p w:rsidR="009F66F4" w:rsidRDefault="009F66F4">
      <w:pPr>
        <w:pStyle w:val="ConsPlusTitle"/>
        <w:jc w:val="center"/>
      </w:pPr>
    </w:p>
    <w:p w:rsidR="009F66F4" w:rsidRDefault="009F66F4">
      <w:pPr>
        <w:pStyle w:val="ConsPlusTitle"/>
        <w:jc w:val="center"/>
      </w:pPr>
      <w:r>
        <w:t>О МЕТОДИЧЕСКИХ РЕКОМЕНДАЦИЯХ</w:t>
      </w:r>
    </w:p>
    <w:p w:rsidR="009F66F4" w:rsidRDefault="009F66F4">
      <w:pPr>
        <w:pStyle w:val="ConsPlusNormal"/>
        <w:jc w:val="center"/>
      </w:pPr>
    </w:p>
    <w:p w:rsidR="009F66F4" w:rsidRDefault="009F66F4">
      <w:pPr>
        <w:pStyle w:val="ConsPlusNormal"/>
        <w:jc w:val="center"/>
      </w:pPr>
      <w:r>
        <w:t>Список изменяющих документов</w:t>
      </w:r>
    </w:p>
    <w:p w:rsidR="009F66F4" w:rsidRDefault="009F66F4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письма</w:t>
        </w:r>
      </w:hyperlink>
      <w:r>
        <w:t xml:space="preserve"> Минобрнауки России от 08.08.2016 N АК-1841/02)</w:t>
      </w:r>
    </w:p>
    <w:p w:rsidR="009F66F4" w:rsidRDefault="009F66F4">
      <w:pPr>
        <w:pStyle w:val="ConsPlusNormal"/>
        <w:jc w:val="center"/>
      </w:pPr>
    </w:p>
    <w:p w:rsidR="009F66F4" w:rsidRDefault="009F66F4">
      <w:pPr>
        <w:pStyle w:val="ConsPlusNormal"/>
        <w:ind w:firstLine="540"/>
        <w:jc w:val="both"/>
      </w:pPr>
      <w:r>
        <w:t xml:space="preserve">Во исполнение поручений Правительства Российской Федерации от 1 марта 2016 г. N ДК-П12-1123 и от 25 апреля 2016 г. N ДК-П12-2459 Минобрнауки России разработало и направляет для сведения и использования в работе методические </w:t>
      </w:r>
      <w:hyperlink w:anchor="P28" w:history="1">
        <w:r>
          <w:rPr>
            <w:color w:val="0000FF"/>
          </w:rPr>
          <w:t>рекомендации</w:t>
        </w:r>
      </w:hyperlink>
      <w:r>
        <w:t xml:space="preserve">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 (утверждены Климовым А.А. 4 мая 2016 г. N АК-15/02вн).</w:t>
      </w:r>
    </w:p>
    <w:p w:rsidR="009F66F4" w:rsidRDefault="009F66F4">
      <w:pPr>
        <w:pStyle w:val="ConsPlusNormal"/>
        <w:ind w:firstLine="540"/>
        <w:jc w:val="both"/>
      </w:pPr>
      <w:r>
        <w:t xml:space="preserve">Методические </w:t>
      </w:r>
      <w:hyperlink w:anchor="P28" w:history="1">
        <w:r>
          <w:rPr>
            <w:color w:val="0000FF"/>
          </w:rPr>
          <w:t>рекомендации</w:t>
        </w:r>
      </w:hyperlink>
      <w:r>
        <w:t xml:space="preserve"> согласованы с Минэкономразвития России.</w:t>
      </w: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right"/>
      </w:pPr>
      <w:r>
        <w:t>Заместитель министра</w:t>
      </w:r>
    </w:p>
    <w:p w:rsidR="009F66F4" w:rsidRDefault="009F66F4">
      <w:pPr>
        <w:pStyle w:val="ConsPlusNormal"/>
        <w:jc w:val="right"/>
      </w:pPr>
      <w:r>
        <w:t>А.А.КЛИМОВ</w:t>
      </w: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right"/>
        <w:outlineLvl w:val="0"/>
      </w:pPr>
      <w:r>
        <w:t>Утверждаю</w:t>
      </w:r>
    </w:p>
    <w:p w:rsidR="009F66F4" w:rsidRDefault="009F66F4">
      <w:pPr>
        <w:pStyle w:val="ConsPlusNormal"/>
        <w:jc w:val="right"/>
      </w:pPr>
      <w:r>
        <w:t>заместитель министра</w:t>
      </w:r>
    </w:p>
    <w:p w:rsidR="009F66F4" w:rsidRDefault="009F66F4">
      <w:pPr>
        <w:pStyle w:val="ConsPlusNormal"/>
        <w:jc w:val="right"/>
      </w:pPr>
      <w:r>
        <w:t>образования и науки</w:t>
      </w:r>
    </w:p>
    <w:p w:rsidR="009F66F4" w:rsidRDefault="009F66F4">
      <w:pPr>
        <w:pStyle w:val="ConsPlusNormal"/>
        <w:jc w:val="right"/>
      </w:pPr>
      <w:r>
        <w:t>Российской Федерации</w:t>
      </w:r>
    </w:p>
    <w:p w:rsidR="009F66F4" w:rsidRDefault="009F66F4">
      <w:pPr>
        <w:pStyle w:val="ConsPlusNormal"/>
        <w:jc w:val="right"/>
      </w:pPr>
      <w:r>
        <w:t>А.А.КЛИМОВ</w:t>
      </w:r>
    </w:p>
    <w:p w:rsidR="009F66F4" w:rsidRDefault="009F66F4">
      <w:pPr>
        <w:pStyle w:val="ConsPlusNormal"/>
        <w:jc w:val="right"/>
      </w:pPr>
      <w:r>
        <w:t>4 мая 2016 г. N АК-15/02вн</w:t>
      </w: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Title"/>
        <w:jc w:val="center"/>
      </w:pPr>
      <w:bookmarkStart w:id="0" w:name="P28"/>
      <w:bookmarkEnd w:id="0"/>
      <w:r>
        <w:t>МЕТОДИЧЕСКИЕ РЕКОМЕНДАЦИИ</w:t>
      </w:r>
    </w:p>
    <w:p w:rsidR="009F66F4" w:rsidRDefault="009F66F4">
      <w:pPr>
        <w:pStyle w:val="ConsPlusTitle"/>
        <w:jc w:val="center"/>
      </w:pPr>
      <w:r>
        <w:t>ПО РАЗВИТИЮ СЕТИ ОБРАЗОВАТЕЛЬНЫХ ОРГАНИЗАЦИЙ</w:t>
      </w:r>
    </w:p>
    <w:p w:rsidR="009F66F4" w:rsidRDefault="009F66F4">
      <w:pPr>
        <w:pStyle w:val="ConsPlusTitle"/>
        <w:jc w:val="center"/>
      </w:pPr>
      <w:r>
        <w:t>И ОБЕСПЕЧЕННОСТИ НАСЕЛЕНИЯ УСЛУГАМИ ТАКИХ ОРГАНИЗАЦИЙ,</w:t>
      </w:r>
    </w:p>
    <w:p w:rsidR="009F66F4" w:rsidRDefault="009F66F4">
      <w:pPr>
        <w:pStyle w:val="ConsPlusTitle"/>
        <w:jc w:val="center"/>
      </w:pPr>
      <w:r>
        <w:t>ВКЛЮЧАЮЩИЕ ТРЕБОВАНИЯ ПО РАЗМЕЩЕНИЮ ОРГАНИЗАЦИЙ СФЕРЫ</w:t>
      </w:r>
    </w:p>
    <w:p w:rsidR="009F66F4" w:rsidRDefault="009F66F4">
      <w:pPr>
        <w:pStyle w:val="ConsPlusTitle"/>
        <w:jc w:val="center"/>
      </w:pPr>
      <w:r>
        <w:t>ОБРАЗОВАНИЯ, В ТОМ ЧИСЛЕ В СЕЛЬСКОЙ МЕСТНОСТИ, ИСХОДЯ</w:t>
      </w:r>
    </w:p>
    <w:p w:rsidR="009F66F4" w:rsidRDefault="009F66F4">
      <w:pPr>
        <w:pStyle w:val="ConsPlusTitle"/>
        <w:jc w:val="center"/>
      </w:pPr>
      <w:r>
        <w:t>ИЗ НОРМ ДЕЙСТВУЮЩЕГО ЗАКОНОДАТЕЛЬСТВА РОССИЙСКОЙ ФЕДЕРАЦИИ,</w:t>
      </w:r>
    </w:p>
    <w:p w:rsidR="009F66F4" w:rsidRDefault="009F66F4">
      <w:pPr>
        <w:pStyle w:val="ConsPlusTitle"/>
        <w:jc w:val="center"/>
      </w:pPr>
      <w:r>
        <w:t>С УЧЕТОМ ВОЗРАСТНОГО СОСТАВА И ПЛОТНОСТИ НАСЕЛЕНИЯ,</w:t>
      </w:r>
    </w:p>
    <w:p w:rsidR="009F66F4" w:rsidRDefault="009F66F4">
      <w:pPr>
        <w:pStyle w:val="ConsPlusTitle"/>
        <w:jc w:val="center"/>
      </w:pPr>
      <w:r>
        <w:t>ТРАНСПОРТНОЙ ИНФРАСТРУКТУРЫ И ДРУГИХ ФАКТОРОВ, ВЛИЯЮЩИХ</w:t>
      </w:r>
    </w:p>
    <w:p w:rsidR="009F66F4" w:rsidRDefault="009F66F4">
      <w:pPr>
        <w:pStyle w:val="ConsPlusTitle"/>
        <w:jc w:val="center"/>
      </w:pPr>
      <w:r>
        <w:t>НА ДОСТУПНОСТЬ И ОБЕСПЕЧЕННОСТЬ НАСЕЛЕНИЯ УСЛУГАМИ</w:t>
      </w:r>
    </w:p>
    <w:p w:rsidR="009F66F4" w:rsidRDefault="009F66F4">
      <w:pPr>
        <w:pStyle w:val="ConsPlusTitle"/>
        <w:jc w:val="center"/>
      </w:pPr>
      <w:r>
        <w:t>СФЕРЫ ОБРАЗОВАНИЯ</w:t>
      </w:r>
    </w:p>
    <w:p w:rsidR="009F66F4" w:rsidRDefault="009F66F4">
      <w:pPr>
        <w:pStyle w:val="ConsPlusNormal"/>
        <w:jc w:val="center"/>
      </w:pPr>
    </w:p>
    <w:p w:rsidR="009F66F4" w:rsidRDefault="009F66F4">
      <w:pPr>
        <w:pStyle w:val="ConsPlusNormal"/>
        <w:jc w:val="center"/>
      </w:pPr>
      <w:r>
        <w:t>Список изменяющих документов</w:t>
      </w:r>
    </w:p>
    <w:p w:rsidR="009F66F4" w:rsidRDefault="009F66F4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письма</w:t>
        </w:r>
      </w:hyperlink>
      <w:r>
        <w:t xml:space="preserve"> Минобрнауки России от 08.08.2016 N АК-1841/02)</w:t>
      </w: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center"/>
        <w:outlineLvl w:val="1"/>
      </w:pPr>
      <w:r>
        <w:t>1. Общие положения</w:t>
      </w: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ind w:firstLine="540"/>
        <w:jc w:val="both"/>
      </w:pPr>
      <w:r>
        <w:lastRenderedPageBreak/>
        <w:t>В соответствии со ст. 8 Федерального закона от 29 декабря 2012 г. N 273-ФЗ "Об образовании в Российской Федерации" (далее - Федеральный закон N 273-ФЗ) организация предоставления услуг дошкольного, общего, среднего профессионального образования и дополнительного образования детей является полномочием региональных органов исполнительной власти в сфере образования и органов местного самоуправления.</w:t>
      </w:r>
    </w:p>
    <w:p w:rsidR="009F66F4" w:rsidRDefault="009F66F4">
      <w:pPr>
        <w:pStyle w:val="ConsPlusNormal"/>
        <w:ind w:firstLine="540"/>
        <w:jc w:val="both"/>
      </w:pPr>
      <w:r>
        <w:t>Вопросы размещения образовательных организаций с учетом плотности населения, его возрастного состава, транспортной доступности и иных параметров, отражающих доступность образовательных услуг, издания и применения нормативных технических документов в области строительства относятся к предметам ведения субъектов Российской Федерации (Федеральный закон от 6 октября 2003 г. N 131-ФЗ "Об общих принципах организации местного самоуправления в Российской Федерации").</w:t>
      </w:r>
    </w:p>
    <w:p w:rsidR="009F66F4" w:rsidRDefault="009F66F4">
      <w:pPr>
        <w:pStyle w:val="ConsPlusNormal"/>
        <w:ind w:firstLine="540"/>
        <w:jc w:val="both"/>
      </w:pPr>
      <w:r>
        <w:t>1.1. При принятии решений в рамках территориального планирования в части размещения на территории субъектов Российской Федерации объектов сферы образования необходимо учитывать следующие нормативные правовые акты:</w:t>
      </w:r>
    </w:p>
    <w:p w:rsidR="009F66F4" w:rsidRDefault="009F66F4">
      <w:pPr>
        <w:pStyle w:val="ConsPlusNormal"/>
        <w:ind w:firstLine="540"/>
        <w:jc w:val="both"/>
      </w:pPr>
      <w:r>
        <w:t xml:space="preserve">- 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от 29 декабря 2012 г. N 273-ФЗ "Об образовании в Российской Федерации";</w:t>
      </w:r>
    </w:p>
    <w:p w:rsidR="009F66F4" w:rsidRDefault="009F66F4">
      <w:pPr>
        <w:pStyle w:val="ConsPlusNormal"/>
        <w:ind w:firstLine="540"/>
        <w:jc w:val="both"/>
      </w:pPr>
      <w:r>
        <w:t xml:space="preserve">- Градостроительный </w:t>
      </w:r>
      <w:hyperlink r:id="rId9" w:history="1">
        <w:r>
          <w:rPr>
            <w:color w:val="0000FF"/>
          </w:rPr>
          <w:t>кодекс</w:t>
        </w:r>
      </w:hyperlink>
      <w:r>
        <w:t xml:space="preserve"> Российской Федерации от 29 декабря 2004 г. N 190-ФЗ;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марта 2007 г. N 178 "Об утверждении Положения о согласовании проектов схем территориального планирования субъектов Российской Федерации";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15 мая 2013 г.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29 декабря 2010 г. N 189 "Об утверждении СанПиН 2.4.2.2821-10 "Санитарно-эпидемиологические требования к условиям и организации обучения в общеобразовательных учреждениях";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23 марта 2011 г. N 23 "Об утверждении СП 2.1.2.2844-11 "Санитарно-эпидемиологические требования к устройству, оборудованию и содержанию общежитий для работников организаций и обучающихся образовательных учреждений";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28 января 2003 г. N 2 "О введении в действие санитарно-эпидемиологических правил и нормативов СанПиН 2.4.3.1186-03" (вместе с "СанПиН 2.4.3.1186-03. 2.4.3. Учреждения начального профессионального образования. 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образования. Санитарно-эпидемиологические правила и нормативы", утв. Главным государственным санитарным врачом Российской Федерации 26 января 2003 г.) &lt;*&gt;;</w:t>
      </w:r>
    </w:p>
    <w:p w:rsidR="009F66F4" w:rsidRDefault="009F66F4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письма</w:t>
        </w:r>
      </w:hyperlink>
      <w:r>
        <w:t xml:space="preserve"> Минобрнауки России от 08.08.2016 N АК-1841/02)</w:t>
      </w:r>
    </w:p>
    <w:p w:rsidR="009F66F4" w:rsidRDefault="009F66F4">
      <w:pPr>
        <w:pStyle w:val="ConsPlusNormal"/>
        <w:ind w:firstLine="540"/>
        <w:jc w:val="both"/>
      </w:pPr>
      <w:r>
        <w:t>--------------------------------</w:t>
      </w:r>
    </w:p>
    <w:p w:rsidR="009F66F4" w:rsidRDefault="009F66F4">
      <w:pPr>
        <w:pStyle w:val="ConsPlusNormal"/>
        <w:ind w:firstLine="540"/>
        <w:jc w:val="both"/>
      </w:pPr>
      <w:r>
        <w:t xml:space="preserve">&lt;*&gt; С учетом </w:t>
      </w:r>
      <w:hyperlink r:id="rId16" w:history="1">
        <w:r>
          <w:rPr>
            <w:color w:val="0000FF"/>
          </w:rPr>
          <w:t>пункта 2 части 1 статьи 108</w:t>
        </w:r>
      </w:hyperlink>
      <w:r>
        <w:t xml:space="preserve"> Федерального закона от 29 декабря 2012 г. N 273-ФЗ "Об образовании в Российской Федерации": "Образовательные уровни (образовательные цензы), установленные в Российской Федерации до дня вступления в силу настоящего Федерального закона, приравниваются к уровням образования, установленным настоящим Федеральным законом, в следующем порядке: &lt;...&gt; 2) начальное профессиональное образование - к среднему профессиональному образованию по программам подготовки квалифицированных рабочих (служащих)".</w:t>
      </w:r>
    </w:p>
    <w:p w:rsidR="009F66F4" w:rsidRDefault="009F66F4">
      <w:pPr>
        <w:pStyle w:val="ConsPlusNormal"/>
        <w:jc w:val="both"/>
      </w:pPr>
      <w:r>
        <w:t xml:space="preserve">(сноска введена </w:t>
      </w:r>
      <w:hyperlink r:id="rId17" w:history="1">
        <w:r>
          <w:rPr>
            <w:color w:val="0000FF"/>
          </w:rPr>
          <w:t>письмом</w:t>
        </w:r>
      </w:hyperlink>
      <w:r>
        <w:t xml:space="preserve"> Минобрнауки России от 08.08.2016 N АК-1841/02)</w:t>
      </w: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4 июля 2014 г. N 41 "Об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10 </w:t>
      </w:r>
      <w:r>
        <w:lastRenderedPageBreak/>
        <w:t>июля 2015 г. N 26 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(санитарные правила, утвержденные данным документом, вводятся в действие с 1 сентября 2016 г.);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20" w:history="1">
        <w:r>
          <w:rPr>
            <w:color w:val="0000FF"/>
          </w:rPr>
          <w:t>СП 42.13330.2011</w:t>
        </w:r>
      </w:hyperlink>
      <w:r>
        <w:t xml:space="preserve">. "Свод правил. Градостроительство. Планировка и застройка городских и сельских поселений. Актуализированная редакция СНиП 2.07.01-89" (утверждены </w:t>
      </w:r>
      <w:hyperlink r:id="rId21" w:history="1">
        <w:r>
          <w:rPr>
            <w:color w:val="0000FF"/>
          </w:rPr>
          <w:t>приказом</w:t>
        </w:r>
      </w:hyperlink>
      <w:r>
        <w:t xml:space="preserve"> Минрегиона России от 28 декабря 2010 г. N 820);</w:t>
      </w:r>
    </w:p>
    <w:p w:rsidR="009F66F4" w:rsidRDefault="009F66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66F4" w:rsidRDefault="009F66F4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9F66F4" w:rsidRDefault="009F66F4">
      <w:pPr>
        <w:pStyle w:val="ConsPlusNormal"/>
        <w:ind w:firstLine="540"/>
        <w:jc w:val="both"/>
      </w:pPr>
      <w:r>
        <w:rPr>
          <w:color w:val="0A2666"/>
        </w:rPr>
        <w:t>В официальном тексте документа, видимо, допущена опечатка: Приказ Минрегиона РФ от 27.12.2011 имеет номер 605, а не 5.</w:t>
      </w:r>
    </w:p>
    <w:p w:rsidR="009F66F4" w:rsidRDefault="009F66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22" w:history="1">
        <w:r>
          <w:rPr>
            <w:color w:val="0000FF"/>
          </w:rPr>
          <w:t>СП 59.13330.2012</w:t>
        </w:r>
      </w:hyperlink>
      <w:r>
        <w:t>. "Свод правил. Доступность зданий и сооружений для маломобильных групп населения. Актуализированная редакция СНиП 35-01-2001" (утверждены приказом Минрегиона России от 27 декабря 2011 г. N 5);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23" w:history="1">
        <w:r>
          <w:rPr>
            <w:color w:val="0000FF"/>
          </w:rPr>
          <w:t>СП 118.13330.2012</w:t>
        </w:r>
      </w:hyperlink>
      <w:r>
        <w:t xml:space="preserve">. "Свод правил. Общественные здания и сооружения. Актуализированная редакция СНиП 31-06-2009" (утверждены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Минрегиона России от 29 декабря 2011 г. N 635/10);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25" w:history="1">
        <w:r>
          <w:rPr>
            <w:color w:val="0000FF"/>
          </w:rPr>
          <w:t>приказ</w:t>
        </w:r>
      </w:hyperlink>
      <w:r>
        <w:t xml:space="preserve"> Минобрнауки России от 20 сентября 2013 г. N 1082 "Об утверждении Положения о психолого-медико-педагогической комиссии";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26" w:history="1">
        <w:r>
          <w:rPr>
            <w:color w:val="0000FF"/>
          </w:rPr>
          <w:t>приказ</w:t>
        </w:r>
      </w:hyperlink>
      <w:r>
        <w:t xml:space="preserve"> Минобрнауки России от 13 марта 2015 г. N 235 "Об утверждении Порядка организации и осуществления деятельности по подготовке лиц, желающих принять на воспитание в свою семью ребенка, оставшегося без попечения родителей";</w:t>
      </w:r>
    </w:p>
    <w:p w:rsidR="009F66F4" w:rsidRDefault="009F66F4">
      <w:pPr>
        <w:pStyle w:val="ConsPlusNormal"/>
        <w:ind w:firstLine="540"/>
        <w:jc w:val="both"/>
      </w:pPr>
      <w:r>
        <w:t xml:space="preserve">- </w:t>
      </w:r>
      <w:hyperlink r:id="rId27" w:history="1">
        <w:r>
          <w:rPr>
            <w:color w:val="0000FF"/>
          </w:rPr>
          <w:t>приказ</w:t>
        </w:r>
      </w:hyperlink>
      <w:r>
        <w:t xml:space="preserve"> Минобрнауки России от 9 ноября 2015 г. N 1309 "Об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помощи";</w:t>
      </w:r>
    </w:p>
    <w:p w:rsidR="009F66F4" w:rsidRDefault="009F66F4">
      <w:pPr>
        <w:pStyle w:val="ConsPlusNormal"/>
        <w:ind w:firstLine="540"/>
        <w:jc w:val="both"/>
      </w:pPr>
      <w:r>
        <w:t>а также следующие письма Минобрнауки России:</w:t>
      </w:r>
    </w:p>
    <w:p w:rsidR="009F66F4" w:rsidRDefault="009F66F4">
      <w:pPr>
        <w:pStyle w:val="ConsPlusNormal"/>
        <w:ind w:firstLine="540"/>
        <w:jc w:val="both"/>
      </w:pPr>
      <w:r>
        <w:t xml:space="preserve">1. "Об итоговой аттестации обучающихся с ограниченными возможностями здоровья" от 9 апреля 2014 г. </w:t>
      </w:r>
      <w:hyperlink r:id="rId28" w:history="1">
        <w:r>
          <w:rPr>
            <w:color w:val="0000FF"/>
          </w:rPr>
          <w:t>N НТ-392/07</w:t>
        </w:r>
      </w:hyperlink>
      <w:r>
        <w:t>;</w:t>
      </w:r>
    </w:p>
    <w:p w:rsidR="009F66F4" w:rsidRDefault="009F66F4">
      <w:pPr>
        <w:pStyle w:val="ConsPlusNormal"/>
        <w:ind w:firstLine="540"/>
        <w:jc w:val="both"/>
      </w:pPr>
      <w:r>
        <w:t xml:space="preserve">2. "О порядке получения образования воспитанниками детских домов-интернатов" от 26 мая 2014 г. </w:t>
      </w:r>
      <w:hyperlink r:id="rId29" w:history="1">
        <w:r>
          <w:rPr>
            <w:color w:val="0000FF"/>
          </w:rPr>
          <w:t>N ВК-1048/07</w:t>
        </w:r>
      </w:hyperlink>
      <w:r>
        <w:t>;</w:t>
      </w:r>
    </w:p>
    <w:p w:rsidR="009F66F4" w:rsidRDefault="009F66F4">
      <w:pPr>
        <w:pStyle w:val="ConsPlusNormal"/>
        <w:ind w:firstLine="540"/>
        <w:jc w:val="both"/>
      </w:pPr>
      <w:r>
        <w:t xml:space="preserve">3. "О государственной аккредитации образовательной деятельности по образовательным программам, адаптированным для обучения лиц с умственной отсталостью" от 20 августа 2014 г. </w:t>
      </w:r>
      <w:hyperlink r:id="rId30" w:history="1">
        <w:r>
          <w:rPr>
            <w:color w:val="0000FF"/>
          </w:rPr>
          <w:t>N ВК-1748/07</w:t>
        </w:r>
      </w:hyperlink>
      <w:r>
        <w:t>;</w:t>
      </w:r>
    </w:p>
    <w:p w:rsidR="009F66F4" w:rsidRDefault="009F66F4">
      <w:pPr>
        <w:pStyle w:val="ConsPlusNormal"/>
        <w:ind w:firstLine="540"/>
        <w:jc w:val="both"/>
      </w:pPr>
      <w:r>
        <w:t xml:space="preserve">4. "О центрах психолого-педагогической, медицинской и социальной помощи" от 14 июля 2014 г. </w:t>
      </w:r>
      <w:hyperlink r:id="rId31" w:history="1">
        <w:r>
          <w:rPr>
            <w:color w:val="0000FF"/>
          </w:rPr>
          <w:t>N ВК-1440/07</w:t>
        </w:r>
      </w:hyperlink>
      <w:r>
        <w:t>;</w:t>
      </w:r>
    </w:p>
    <w:p w:rsidR="009F66F4" w:rsidRDefault="009F66F4">
      <w:pPr>
        <w:pStyle w:val="ConsPlusNormal"/>
        <w:ind w:firstLine="540"/>
        <w:jc w:val="both"/>
      </w:pPr>
      <w:r>
        <w:t>5. "О сохранении сети отдельных организаций, осуществляющих образовательную деятельность по адаптированным основным общеобразовательным программам" от 13 ноября 2014 г. N ВК-2422/07.</w:t>
      </w:r>
    </w:p>
    <w:p w:rsidR="009F66F4" w:rsidRDefault="009F66F4">
      <w:pPr>
        <w:pStyle w:val="ConsPlusNormal"/>
        <w:ind w:firstLine="540"/>
        <w:jc w:val="both"/>
      </w:pPr>
      <w:r>
        <w:t>1.2. При принятии решений по оптимальному размещению на территории субъектов Российской Федерации объектов социальной сферы необходимо учитывать следующие рекомендации.</w:t>
      </w:r>
    </w:p>
    <w:p w:rsidR="009F66F4" w:rsidRDefault="009F66F4">
      <w:pPr>
        <w:pStyle w:val="ConsPlusNormal"/>
        <w:ind w:firstLine="540"/>
        <w:jc w:val="both"/>
      </w:pPr>
      <w:r>
        <w:t>1.2.1. В сфере общего образования</w:t>
      </w:r>
    </w:p>
    <w:p w:rsidR="009F66F4" w:rsidRDefault="009F66F4">
      <w:pPr>
        <w:pStyle w:val="ConsPlusNormal"/>
        <w:ind w:firstLine="540"/>
        <w:jc w:val="both"/>
      </w:pPr>
      <w:r>
        <w:t>При установлении требований к размещению объектов социальной сферы установить не менее одной дневной общеобразовательной школы на 892 человека в городской местности, в сельской местности - на 201 человек.</w:t>
      </w:r>
    </w:p>
    <w:p w:rsidR="009F66F4" w:rsidRDefault="009F66F4">
      <w:pPr>
        <w:pStyle w:val="ConsPlusNormal"/>
        <w:ind w:firstLine="540"/>
        <w:jc w:val="both"/>
      </w:pPr>
      <w:r>
        <w:t>Для реализации общеобразовательных программ дошкольного образования установить не менее одной дошкольной образовательной организации на 174 воспитанника в городской местности, в сельской местности - на 62 воспитанника.</w:t>
      </w:r>
    </w:p>
    <w:p w:rsidR="009F66F4" w:rsidRDefault="009F66F4">
      <w:pPr>
        <w:pStyle w:val="ConsPlusNormal"/>
        <w:ind w:firstLine="540"/>
        <w:jc w:val="both"/>
      </w:pPr>
      <w:r>
        <w:t>1.2.2. В сфере дополнительного образования</w:t>
      </w:r>
    </w:p>
    <w:p w:rsidR="009F66F4" w:rsidRDefault="009F66F4">
      <w:pPr>
        <w:pStyle w:val="ConsPlusNormal"/>
        <w:ind w:firstLine="540"/>
        <w:jc w:val="both"/>
      </w:pPr>
      <w:r>
        <w:t>Потребность в организациях дополнительного образования детей определяется исходя из необходимости обеспечения охвата детей в возрасте от 5 до 18 лет дополнительными образовательными программами на уровне 70 - 75%.</w:t>
      </w:r>
    </w:p>
    <w:p w:rsidR="009F66F4" w:rsidRDefault="009F66F4">
      <w:pPr>
        <w:pStyle w:val="ConsPlusNormal"/>
        <w:ind w:firstLine="540"/>
        <w:jc w:val="both"/>
      </w:pPr>
      <w:r>
        <w:lastRenderedPageBreak/>
        <w:t>Количество организаций дополнительного образования детей рассчитывается пропорционально численности детей в возрасте от 5 до 18 лет, проживающих на территории субъекта Российской Федерации (при определении количества организаций дополнительного образования детей, расположенных в сельской местности, учитывается пешеходная доступность от места жительства обучающегося и [или] места нахождения образовательной организации, в которой обучающийся получает образование).</w:t>
      </w:r>
    </w:p>
    <w:p w:rsidR="009F66F4" w:rsidRDefault="009F66F4">
      <w:pPr>
        <w:pStyle w:val="ConsPlusNormal"/>
        <w:ind w:firstLine="540"/>
        <w:jc w:val="both"/>
      </w:pPr>
      <w:r>
        <w:t>При расчете потребности в организациях дополнительного образования детей, реализующих дополнительные предпрофессиональные программы в области искусств, учитываются следующие особенности.</w:t>
      </w:r>
    </w:p>
    <w:p w:rsidR="009F66F4" w:rsidRDefault="009F66F4">
      <w:pPr>
        <w:pStyle w:val="ConsPlusNormal"/>
        <w:ind w:firstLine="540"/>
        <w:jc w:val="both"/>
      </w:pPr>
      <w:r>
        <w:t>Для субъектов Российской Федерации количество организаций дополнительного образования детей (детских школ искусств по видам искусств) (далее - ДШИ) определяется исходя из необходимости обеспечения 12% охвата детей в возрасте от 6 лет 6 месяцев до 16 лет дополнительными предпрофессиональными программами в области искусств.</w:t>
      </w:r>
    </w:p>
    <w:p w:rsidR="009F66F4" w:rsidRDefault="009F66F4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письма</w:t>
        </w:r>
      </w:hyperlink>
      <w:r>
        <w:t xml:space="preserve"> Минобрнауки России от 08.08.2016 N АК-1841/02)</w:t>
      </w:r>
    </w:p>
    <w:p w:rsidR="009F66F4" w:rsidRDefault="009F66F4">
      <w:pPr>
        <w:pStyle w:val="ConsPlusNormal"/>
        <w:ind w:firstLine="540"/>
        <w:jc w:val="both"/>
      </w:pPr>
      <w:r>
        <w:t>Количество ДШИ в населенных пунктах с численностью населения от 3 до 10 тыс. человек определяется в расчете одна ДШИ на населенный пункт.</w:t>
      </w:r>
    </w:p>
    <w:p w:rsidR="009F66F4" w:rsidRDefault="009F66F4">
      <w:pPr>
        <w:pStyle w:val="ConsPlusNormal"/>
        <w:ind w:firstLine="540"/>
        <w:jc w:val="both"/>
      </w:pPr>
      <w:r>
        <w:t>Количество ДШИ в населенных пунктах с численностью населения свыше 10 тыс. человек определяется исходя из расчета охвата соответствующими программами не менее 12% обучающихся 1 - 9 классов общеобразовательных организаций.</w:t>
      </w:r>
    </w:p>
    <w:p w:rsidR="009F66F4" w:rsidRDefault="009F66F4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письма</w:t>
        </w:r>
      </w:hyperlink>
      <w:r>
        <w:t xml:space="preserve"> Минобрнауки России от 08.08.2016 N АК-1841/02)</w:t>
      </w:r>
    </w:p>
    <w:p w:rsidR="009F66F4" w:rsidRDefault="009F66F4">
      <w:pPr>
        <w:pStyle w:val="ConsPlusNormal"/>
        <w:ind w:firstLine="540"/>
        <w:jc w:val="both"/>
      </w:pPr>
      <w:r>
        <w:t>1.2.3. В сфере среднего профессионального образования</w:t>
      </w:r>
    </w:p>
    <w:p w:rsidR="009F66F4" w:rsidRDefault="009F66F4">
      <w:pPr>
        <w:pStyle w:val="ConsPlusNormal"/>
        <w:ind w:firstLine="540"/>
        <w:jc w:val="both"/>
      </w:pPr>
      <w:r>
        <w:t>Потребность в профессиональных образовательных организациях определяется исходя из необходимости обеспечения программами среднего профессионального образования населения в возрасте 15 - 19 лет, имеющих основное общее и среднее общее образование на уровне 50% от их общего количества.</w:t>
      </w:r>
    </w:p>
    <w:p w:rsidR="009F66F4" w:rsidRDefault="009F66F4">
      <w:pPr>
        <w:pStyle w:val="ConsPlusNormal"/>
        <w:ind w:firstLine="540"/>
        <w:jc w:val="both"/>
      </w:pPr>
      <w:r>
        <w:t>Количество создаваемых профессиональных образовательных организаций определяется также исходя из сложившихся социально-демографических, географических, экономических и других особенностей соответствующей территории.</w:t>
      </w:r>
    </w:p>
    <w:p w:rsidR="009F66F4" w:rsidRDefault="009F66F4">
      <w:pPr>
        <w:pStyle w:val="ConsPlusNormal"/>
        <w:ind w:firstLine="540"/>
        <w:jc w:val="both"/>
      </w:pPr>
      <w:r>
        <w:t>1.2.4. В сфере организации образования детей-инвалидов с ОВЗ и психолого-педагогической, медицинской и социальной помощи рекомендуется учитывать следующее:</w:t>
      </w:r>
    </w:p>
    <w:p w:rsidR="009F66F4" w:rsidRDefault="009F66F4">
      <w:pPr>
        <w:pStyle w:val="ConsPlusNormal"/>
        <w:ind w:firstLine="540"/>
        <w:jc w:val="both"/>
      </w:pPr>
      <w:r>
        <w:t>- создание центров психолого-педагогической, медицинской и социальной помощи (далее - ПМСЦ) возложено на органы государственной власти субъектов Российской Федерации в сфере образования, а также органы местного самоуправления;</w:t>
      </w:r>
    </w:p>
    <w:p w:rsidR="009F66F4" w:rsidRDefault="009F66F4">
      <w:pPr>
        <w:pStyle w:val="ConsPlusNormal"/>
        <w:ind w:firstLine="540"/>
        <w:jc w:val="both"/>
      </w:pPr>
      <w:r>
        <w:t xml:space="preserve">- услуги, оказываемые психолого-медико-педагогическими комиссиями, в том числе на базе ПМСЦ, в соответствии со </w:t>
      </w:r>
      <w:hyperlink r:id="rId34" w:history="1">
        <w:r>
          <w:rPr>
            <w:color w:val="0000FF"/>
          </w:rPr>
          <w:t>статьей 42</w:t>
        </w:r>
      </w:hyperlink>
      <w:r>
        <w:t xml:space="preserve"> Федерального закона N 273-ФЗ, реализуются в рамках исполнения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Минобрнауки России от 20 сентября 2013 г. N 1082 "Об утверждении Положения о психолого-медико-педагогической комиссии" (далее - Приказ);</w:t>
      </w:r>
    </w:p>
    <w:p w:rsidR="009F66F4" w:rsidRDefault="009F66F4">
      <w:pPr>
        <w:pStyle w:val="ConsPlusNormal"/>
        <w:ind w:firstLine="540"/>
        <w:jc w:val="both"/>
      </w:pPr>
      <w:r>
        <w:t xml:space="preserve">- количество психолого-медико-педагогических комиссий (далее - ПМПК) в соответствии с </w:t>
      </w:r>
      <w:hyperlink r:id="rId36" w:history="1">
        <w:r>
          <w:rPr>
            <w:color w:val="0000FF"/>
          </w:rPr>
          <w:t>Приказом</w:t>
        </w:r>
      </w:hyperlink>
      <w:r>
        <w:t xml:space="preserve"> определяется органами государственной власти субъекта РФ в сфере образования из расчета одна ПМПК на 10 тыс. детей, проживающих на соответствующей территории, но не менее одной комиссии в субъекте РФ.</w:t>
      </w:r>
    </w:p>
    <w:p w:rsidR="009F66F4" w:rsidRDefault="009F66F4">
      <w:pPr>
        <w:pStyle w:val="ConsPlusNormal"/>
        <w:ind w:firstLine="540"/>
        <w:jc w:val="both"/>
      </w:pPr>
      <w:r>
        <w:t>Количество создаваемых комиссий определяется также исходя из сложившихся социально-демографических, географических и других особенностей соответствующей территории.</w:t>
      </w:r>
    </w:p>
    <w:p w:rsidR="009F66F4" w:rsidRDefault="009F66F4">
      <w:pPr>
        <w:pStyle w:val="ConsPlusNormal"/>
        <w:ind w:firstLine="540"/>
        <w:jc w:val="both"/>
      </w:pPr>
      <w:r>
        <w:t xml:space="preserve">2. Примерные значения для установления критериев по оптимальному размещению на территориях субъектов Российской Федерации объектов образования даны в </w:t>
      </w:r>
      <w:hyperlink w:anchor="P106" w:history="1">
        <w:r>
          <w:rPr>
            <w:color w:val="0000FF"/>
          </w:rPr>
          <w:t>приложении</w:t>
        </w:r>
      </w:hyperlink>
      <w:r>
        <w:t>.</w:t>
      </w: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sectPr w:rsidR="009F66F4" w:rsidSect="004D7E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66F4" w:rsidRDefault="009F66F4">
      <w:pPr>
        <w:pStyle w:val="ConsPlusNormal"/>
        <w:jc w:val="right"/>
        <w:outlineLvl w:val="1"/>
      </w:pPr>
      <w:r>
        <w:lastRenderedPageBreak/>
        <w:t>Приложение</w:t>
      </w: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center"/>
      </w:pPr>
      <w:bookmarkStart w:id="1" w:name="P106"/>
      <w:bookmarkEnd w:id="1"/>
      <w:r>
        <w:t>ПРИМЕРНЫЕ ЗНАЧЕНИЯ</w:t>
      </w:r>
    </w:p>
    <w:p w:rsidR="009F66F4" w:rsidRDefault="009F66F4">
      <w:pPr>
        <w:pStyle w:val="ConsPlusNormal"/>
        <w:jc w:val="center"/>
      </w:pPr>
      <w:r>
        <w:t>ДЛЯ УСТАНОВЛЕНИЯ КРИТЕРИЕВ ПО ОПТИМАЛЬНОМУ РАЗМЕЩЕНИЮ</w:t>
      </w:r>
    </w:p>
    <w:p w:rsidR="009F66F4" w:rsidRDefault="009F66F4">
      <w:pPr>
        <w:pStyle w:val="ConsPlusNormal"/>
        <w:jc w:val="center"/>
      </w:pPr>
      <w:r>
        <w:t>НА ТЕРРИТОРИЯХ СУБЪЕКТОВ РОССИЙСКОЙ ФЕДЕРАЦИИ</w:t>
      </w:r>
    </w:p>
    <w:p w:rsidR="009F66F4" w:rsidRDefault="009F66F4">
      <w:pPr>
        <w:pStyle w:val="ConsPlusNormal"/>
        <w:jc w:val="center"/>
      </w:pPr>
      <w:r>
        <w:t>ОБЪЕКТОВ ОБРАЗОВАНИЯ</w:t>
      </w:r>
    </w:p>
    <w:p w:rsidR="009F66F4" w:rsidRDefault="009F66F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105"/>
        <w:gridCol w:w="1814"/>
        <w:gridCol w:w="907"/>
        <w:gridCol w:w="1587"/>
        <w:gridCol w:w="3061"/>
        <w:gridCol w:w="907"/>
        <w:gridCol w:w="964"/>
        <w:gridCol w:w="3005"/>
        <w:gridCol w:w="964"/>
        <w:gridCol w:w="1020"/>
      </w:tblGrid>
      <w:tr w:rsidR="009F66F4">
        <w:tc>
          <w:tcPr>
            <w:tcW w:w="2098" w:type="dxa"/>
            <w:vMerge w:val="restart"/>
          </w:tcPr>
          <w:p w:rsidR="009F66F4" w:rsidRDefault="009F66F4">
            <w:pPr>
              <w:pStyle w:val="ConsPlusNormal"/>
              <w:jc w:val="center"/>
            </w:pPr>
            <w:r>
              <w:t>Уровень образования</w:t>
            </w:r>
          </w:p>
        </w:tc>
        <w:tc>
          <w:tcPr>
            <w:tcW w:w="15334" w:type="dxa"/>
            <w:gridSpan w:val="10"/>
          </w:tcPr>
          <w:p w:rsidR="009F66F4" w:rsidRDefault="009F66F4">
            <w:pPr>
              <w:pStyle w:val="ConsPlusNormal"/>
              <w:jc w:val="center"/>
            </w:pPr>
            <w:r>
              <w:t>Критерии доступности</w:t>
            </w:r>
          </w:p>
        </w:tc>
      </w:tr>
      <w:tr w:rsidR="009F66F4">
        <w:tc>
          <w:tcPr>
            <w:tcW w:w="2098" w:type="dxa"/>
            <w:vMerge/>
          </w:tcPr>
          <w:p w:rsidR="009F66F4" w:rsidRDefault="009F66F4"/>
        </w:tc>
        <w:tc>
          <w:tcPr>
            <w:tcW w:w="5413" w:type="dxa"/>
            <w:gridSpan w:val="4"/>
          </w:tcPr>
          <w:p w:rsidR="009F66F4" w:rsidRDefault="009F66F4">
            <w:pPr>
              <w:pStyle w:val="ConsPlusNormal"/>
              <w:jc w:val="center"/>
            </w:pPr>
            <w:r>
              <w:t>а. Обеспечение государственных гарантий реализации прав на получение образования</w:t>
            </w:r>
          </w:p>
        </w:tc>
        <w:tc>
          <w:tcPr>
            <w:tcW w:w="4932" w:type="dxa"/>
            <w:gridSpan w:val="3"/>
          </w:tcPr>
          <w:p w:rsidR="009F66F4" w:rsidRDefault="009F66F4">
            <w:pPr>
              <w:pStyle w:val="ConsPlusNormal"/>
              <w:jc w:val="center"/>
            </w:pPr>
            <w:r>
              <w:t>б. Территориальная и транспортная доступность</w:t>
            </w:r>
          </w:p>
        </w:tc>
        <w:tc>
          <w:tcPr>
            <w:tcW w:w="4989" w:type="dxa"/>
            <w:gridSpan w:val="3"/>
          </w:tcPr>
          <w:p w:rsidR="009F66F4" w:rsidRDefault="009F66F4">
            <w:pPr>
              <w:pStyle w:val="ConsPlusNormal"/>
              <w:jc w:val="center"/>
            </w:pPr>
            <w:r>
              <w:t>в. Условия для получения образования лицами с ограниченными возможностями здоровья и инвалидами</w:t>
            </w:r>
          </w:p>
        </w:tc>
      </w:tr>
      <w:tr w:rsidR="009F66F4">
        <w:tc>
          <w:tcPr>
            <w:tcW w:w="2098" w:type="dxa"/>
            <w:vMerge/>
          </w:tcPr>
          <w:p w:rsidR="009F66F4" w:rsidRDefault="009F66F4"/>
        </w:tc>
        <w:tc>
          <w:tcPr>
            <w:tcW w:w="2919" w:type="dxa"/>
            <w:gridSpan w:val="2"/>
            <w:vMerge w:val="restart"/>
          </w:tcPr>
          <w:p w:rsidR="009F66F4" w:rsidRDefault="009F66F4">
            <w:pPr>
              <w:pStyle w:val="ConsPlusNormal"/>
              <w:jc w:val="center"/>
            </w:pPr>
            <w:r>
              <w:t>Наименование норматива (рекомендация)</w:t>
            </w:r>
          </w:p>
        </w:tc>
        <w:tc>
          <w:tcPr>
            <w:tcW w:w="2494" w:type="dxa"/>
            <w:gridSpan w:val="2"/>
          </w:tcPr>
          <w:p w:rsidR="009F66F4" w:rsidRDefault="009F66F4">
            <w:pPr>
              <w:pStyle w:val="ConsPlusNormal"/>
              <w:jc w:val="center"/>
            </w:pPr>
            <w:r>
              <w:t>Минимальные значения показателя</w:t>
            </w:r>
          </w:p>
        </w:tc>
        <w:tc>
          <w:tcPr>
            <w:tcW w:w="3061" w:type="dxa"/>
            <w:vMerge w:val="restart"/>
          </w:tcPr>
          <w:p w:rsidR="009F66F4" w:rsidRDefault="009F66F4">
            <w:pPr>
              <w:pStyle w:val="ConsPlusNormal"/>
              <w:jc w:val="center"/>
            </w:pPr>
            <w:r>
              <w:t>Наименование норматива (рекомендация)</w:t>
            </w:r>
          </w:p>
        </w:tc>
        <w:tc>
          <w:tcPr>
            <w:tcW w:w="1871" w:type="dxa"/>
            <w:gridSpan w:val="2"/>
          </w:tcPr>
          <w:p w:rsidR="009F66F4" w:rsidRDefault="009F66F4">
            <w:pPr>
              <w:pStyle w:val="ConsPlusNormal"/>
              <w:jc w:val="center"/>
            </w:pPr>
            <w:r>
              <w:t>Минимальные значения показателя</w:t>
            </w:r>
          </w:p>
        </w:tc>
        <w:tc>
          <w:tcPr>
            <w:tcW w:w="3005" w:type="dxa"/>
            <w:vMerge w:val="restart"/>
          </w:tcPr>
          <w:p w:rsidR="009F66F4" w:rsidRDefault="009F66F4">
            <w:pPr>
              <w:pStyle w:val="ConsPlusNormal"/>
              <w:jc w:val="center"/>
            </w:pPr>
            <w:r>
              <w:t>Наименование норматива (рекомендация)</w:t>
            </w:r>
          </w:p>
        </w:tc>
        <w:tc>
          <w:tcPr>
            <w:tcW w:w="1984" w:type="dxa"/>
            <w:gridSpan w:val="2"/>
          </w:tcPr>
          <w:p w:rsidR="009F66F4" w:rsidRDefault="009F66F4">
            <w:pPr>
              <w:pStyle w:val="ConsPlusNormal"/>
              <w:jc w:val="center"/>
            </w:pPr>
            <w:r>
              <w:t>Минимальные значения показателя</w:t>
            </w:r>
          </w:p>
        </w:tc>
      </w:tr>
      <w:tr w:rsidR="009F66F4">
        <w:tc>
          <w:tcPr>
            <w:tcW w:w="2098" w:type="dxa"/>
            <w:vMerge/>
          </w:tcPr>
          <w:p w:rsidR="009F66F4" w:rsidRDefault="009F66F4"/>
        </w:tc>
        <w:tc>
          <w:tcPr>
            <w:tcW w:w="2919" w:type="dxa"/>
            <w:gridSpan w:val="2"/>
            <w:vMerge/>
          </w:tcPr>
          <w:p w:rsidR="009F66F4" w:rsidRDefault="009F66F4"/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текущие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предлагаемые</w:t>
            </w:r>
          </w:p>
        </w:tc>
        <w:tc>
          <w:tcPr>
            <w:tcW w:w="3061" w:type="dxa"/>
            <w:vMerge/>
          </w:tcPr>
          <w:p w:rsidR="009F66F4" w:rsidRDefault="009F66F4"/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текущие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предлагаемые</w:t>
            </w:r>
          </w:p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текущие</w:t>
            </w:r>
          </w:p>
        </w:tc>
        <w:tc>
          <w:tcPr>
            <w:tcW w:w="1020" w:type="dxa"/>
          </w:tcPr>
          <w:p w:rsidR="009F66F4" w:rsidRDefault="009F66F4">
            <w:pPr>
              <w:pStyle w:val="ConsPlusNormal"/>
              <w:jc w:val="center"/>
            </w:pPr>
            <w:r>
              <w:t>предлагаемые</w:t>
            </w: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5" w:type="dxa"/>
          </w:tcPr>
          <w:p w:rsidR="009F66F4" w:rsidRDefault="009F66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F66F4" w:rsidRDefault="009F66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9F66F4" w:rsidRDefault="009F66F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9F66F4" w:rsidRDefault="009F66F4">
            <w:pPr>
              <w:pStyle w:val="ConsPlusNormal"/>
              <w:jc w:val="center"/>
            </w:pPr>
            <w:r>
              <w:t>11</w:t>
            </w:r>
          </w:p>
        </w:tc>
      </w:tr>
      <w:tr w:rsidR="009F66F4">
        <w:tc>
          <w:tcPr>
            <w:tcW w:w="17432" w:type="dxa"/>
            <w:gridSpan w:val="11"/>
          </w:tcPr>
          <w:p w:rsidR="009F66F4" w:rsidRDefault="009F66F4">
            <w:pPr>
              <w:pStyle w:val="ConsPlusNormal"/>
              <w:jc w:val="center"/>
              <w:outlineLvl w:val="2"/>
            </w:pPr>
            <w:r>
              <w:t>Дошкольное образование</w:t>
            </w: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</w:pPr>
            <w:r>
              <w:t>городская местность</w:t>
            </w:r>
          </w:p>
        </w:tc>
        <w:tc>
          <w:tcPr>
            <w:tcW w:w="2919" w:type="dxa"/>
            <w:gridSpan w:val="2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Число мест в образовательных организациях в расчете на 100 детей в возрасте от 0 до 7 лет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61" w:type="dxa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Нормируемый (средний) радиус обслуживания населения одной образовательной организацией, м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005" w:type="dxa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Удельный вес числа дошкольных образовательных организаций, в которых создана универсальная безбарьерная среда для инклюзивного образования детей-инвалидов, в общем числе дошкольных образовательных организаций (к 2020 г.), %</w:t>
            </w:r>
          </w:p>
        </w:tc>
        <w:tc>
          <w:tcPr>
            <w:tcW w:w="964" w:type="dxa"/>
            <w:vMerge w:val="restart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9F66F4" w:rsidRDefault="009F66F4">
            <w:pPr>
              <w:pStyle w:val="ConsPlusNormal"/>
              <w:jc w:val="center"/>
            </w:pPr>
            <w:r>
              <w:t>20</w:t>
            </w: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</w:pPr>
            <w:r>
              <w:t>сельская местность</w:t>
            </w:r>
          </w:p>
        </w:tc>
        <w:tc>
          <w:tcPr>
            <w:tcW w:w="2919" w:type="dxa"/>
            <w:gridSpan w:val="2"/>
            <w:vMerge/>
          </w:tcPr>
          <w:p w:rsidR="009F66F4" w:rsidRDefault="009F66F4"/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61" w:type="dxa"/>
            <w:vMerge/>
          </w:tcPr>
          <w:p w:rsidR="009F66F4" w:rsidRDefault="009F66F4"/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  <w:vMerge/>
          </w:tcPr>
          <w:p w:rsidR="009F66F4" w:rsidRDefault="009F66F4"/>
        </w:tc>
        <w:tc>
          <w:tcPr>
            <w:tcW w:w="1020" w:type="dxa"/>
            <w:vMerge/>
          </w:tcPr>
          <w:p w:rsidR="009F66F4" w:rsidRDefault="009F66F4"/>
        </w:tc>
      </w:tr>
      <w:tr w:rsidR="009F66F4">
        <w:tc>
          <w:tcPr>
            <w:tcW w:w="17432" w:type="dxa"/>
            <w:gridSpan w:val="11"/>
          </w:tcPr>
          <w:p w:rsidR="009F66F4" w:rsidRDefault="009F66F4">
            <w:pPr>
              <w:pStyle w:val="ConsPlusNormal"/>
              <w:jc w:val="center"/>
              <w:outlineLvl w:val="2"/>
            </w:pPr>
            <w:r>
              <w:lastRenderedPageBreak/>
              <w:t>Общее образование</w:t>
            </w:r>
          </w:p>
        </w:tc>
      </w:tr>
      <w:tr w:rsidR="009F66F4">
        <w:tc>
          <w:tcPr>
            <w:tcW w:w="2098" w:type="dxa"/>
            <w:tcBorders>
              <w:bottom w:val="nil"/>
            </w:tcBorders>
          </w:tcPr>
          <w:p w:rsidR="009F66F4" w:rsidRDefault="009F66F4">
            <w:pPr>
              <w:pStyle w:val="ConsPlusNormal"/>
            </w:pPr>
            <w:r>
              <w:t>городская местность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>Число мест в образовательных организациях в расчете на 100 детей в возрасте от 7 до 18 лет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>Нормируемый (средний) радиус обслуживания населения одной образовательной организацией, м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3005" w:type="dxa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Удельный вес числа общеобразовательных организаций, в которых создана универсальная безбарьерная среда для инклюзивного образования детей-инвалидов, в общем числе общеобразовательных организаций (к 2020 году), %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9F66F4" w:rsidRDefault="009F66F4">
            <w:pPr>
              <w:pStyle w:val="ConsPlusNormal"/>
              <w:jc w:val="center"/>
            </w:pPr>
            <w:r>
              <w:t>25</w:t>
            </w:r>
          </w:p>
        </w:tc>
      </w:tr>
      <w:tr w:rsidR="009F66F4">
        <w:tc>
          <w:tcPr>
            <w:tcW w:w="3203" w:type="dxa"/>
            <w:gridSpan w:val="2"/>
            <w:vMerge w:val="restart"/>
            <w:tcBorders>
              <w:top w:val="nil"/>
            </w:tcBorders>
          </w:tcPr>
          <w:p w:rsidR="009F66F4" w:rsidRDefault="009F66F4">
            <w:pPr>
              <w:pStyle w:val="ConsPlusNormal"/>
            </w:pPr>
          </w:p>
        </w:tc>
        <w:tc>
          <w:tcPr>
            <w:tcW w:w="1814" w:type="dxa"/>
            <w:vMerge w:val="restart"/>
          </w:tcPr>
          <w:p w:rsidR="009F66F4" w:rsidRDefault="009F66F4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9F66F4" w:rsidRDefault="009F66F4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9F66F4" w:rsidRDefault="009F66F4">
            <w:pPr>
              <w:pStyle w:val="ConsPlusNormal"/>
            </w:pPr>
          </w:p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>I климатический район (I подзона)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</w:tcPr>
          <w:p w:rsidR="009F66F4" w:rsidRDefault="009F66F4">
            <w:pPr>
              <w:pStyle w:val="ConsPlusNormal"/>
            </w:pPr>
          </w:p>
        </w:tc>
      </w:tr>
      <w:tr w:rsidR="009F66F4">
        <w:tc>
          <w:tcPr>
            <w:tcW w:w="3203" w:type="dxa"/>
            <w:gridSpan w:val="2"/>
            <w:vMerge/>
            <w:tcBorders>
              <w:top w:val="nil"/>
            </w:tcBorders>
          </w:tcPr>
          <w:p w:rsidR="009F66F4" w:rsidRDefault="009F66F4"/>
        </w:tc>
        <w:tc>
          <w:tcPr>
            <w:tcW w:w="1814" w:type="dxa"/>
            <w:vMerge/>
          </w:tcPr>
          <w:p w:rsidR="009F66F4" w:rsidRDefault="009F66F4"/>
        </w:tc>
        <w:tc>
          <w:tcPr>
            <w:tcW w:w="907" w:type="dxa"/>
            <w:vMerge/>
          </w:tcPr>
          <w:p w:rsidR="009F66F4" w:rsidRDefault="009F66F4"/>
        </w:tc>
        <w:tc>
          <w:tcPr>
            <w:tcW w:w="1587" w:type="dxa"/>
            <w:vMerge/>
          </w:tcPr>
          <w:p w:rsidR="009F66F4" w:rsidRDefault="009F66F4"/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>I климатический район (II подзона)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</w:tcPr>
          <w:p w:rsidR="009F66F4" w:rsidRDefault="009F66F4">
            <w:pPr>
              <w:pStyle w:val="ConsPlusNormal"/>
            </w:pPr>
          </w:p>
        </w:tc>
      </w:tr>
      <w:tr w:rsidR="009F66F4">
        <w:tc>
          <w:tcPr>
            <w:tcW w:w="3203" w:type="dxa"/>
            <w:gridSpan w:val="2"/>
            <w:vMerge/>
            <w:tcBorders>
              <w:top w:val="nil"/>
            </w:tcBorders>
          </w:tcPr>
          <w:p w:rsidR="009F66F4" w:rsidRDefault="009F66F4"/>
        </w:tc>
        <w:tc>
          <w:tcPr>
            <w:tcW w:w="1814" w:type="dxa"/>
            <w:vMerge/>
          </w:tcPr>
          <w:p w:rsidR="009F66F4" w:rsidRDefault="009F66F4"/>
        </w:tc>
        <w:tc>
          <w:tcPr>
            <w:tcW w:w="907" w:type="dxa"/>
            <w:vMerge/>
          </w:tcPr>
          <w:p w:rsidR="009F66F4" w:rsidRDefault="009F66F4"/>
        </w:tc>
        <w:tc>
          <w:tcPr>
            <w:tcW w:w="1587" w:type="dxa"/>
            <w:vMerge/>
          </w:tcPr>
          <w:p w:rsidR="009F66F4" w:rsidRDefault="009F66F4"/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>II и III климатические зоны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</w:tcPr>
          <w:p w:rsidR="009F66F4" w:rsidRDefault="009F66F4">
            <w:pPr>
              <w:pStyle w:val="ConsPlusNormal"/>
            </w:pP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сельская местность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</w:pP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>Время в пути к общеобразовательной организации, мин.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</w:tcPr>
          <w:p w:rsidR="009F66F4" w:rsidRDefault="009F66F4">
            <w:pPr>
              <w:pStyle w:val="ConsPlusNormal"/>
            </w:pP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Дополнительное образование детей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>Число мест на программах дополнительного образования в расчете на 100 детей в возрасте 5 до 18 лет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61" w:type="dxa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Время в пути к организации, реализующей программы дополнительного образования, от места проживания обучающегося, мин.</w:t>
            </w:r>
          </w:p>
        </w:tc>
        <w:tc>
          <w:tcPr>
            <w:tcW w:w="907" w:type="dxa"/>
            <w:vMerge w:val="restart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9F66F4" w:rsidRDefault="009F66F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Удельный вес числа образовательных организаций, реализующих программы дополнительного образования, в которых создана универсальная безбарьерная среда для инклюзивного образования детей-инвалидов, в общем числе образовательных организаций, реализующих программы дополнительного образования (к 2020 году), %</w:t>
            </w:r>
          </w:p>
        </w:tc>
        <w:tc>
          <w:tcPr>
            <w:tcW w:w="964" w:type="dxa"/>
            <w:vMerge w:val="restart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9F66F4" w:rsidRDefault="009F66F4">
            <w:pPr>
              <w:pStyle w:val="ConsPlusNormal"/>
            </w:pP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городская местность</w:t>
            </w:r>
          </w:p>
        </w:tc>
        <w:tc>
          <w:tcPr>
            <w:tcW w:w="2919" w:type="dxa"/>
            <w:gridSpan w:val="2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Число мест на программах дополнительного образования, реализуемых на базе общеобразовательных организаций, в расчете на 100 обучающихся в общеобразовательных организациях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061" w:type="dxa"/>
            <w:vMerge/>
          </w:tcPr>
          <w:p w:rsidR="009F66F4" w:rsidRDefault="009F66F4"/>
        </w:tc>
        <w:tc>
          <w:tcPr>
            <w:tcW w:w="907" w:type="dxa"/>
            <w:vMerge/>
          </w:tcPr>
          <w:p w:rsidR="009F66F4" w:rsidRDefault="009F66F4"/>
        </w:tc>
        <w:tc>
          <w:tcPr>
            <w:tcW w:w="964" w:type="dxa"/>
            <w:vMerge/>
          </w:tcPr>
          <w:p w:rsidR="009F66F4" w:rsidRDefault="009F66F4"/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  <w:vMerge/>
          </w:tcPr>
          <w:p w:rsidR="009F66F4" w:rsidRDefault="009F66F4"/>
        </w:tc>
        <w:tc>
          <w:tcPr>
            <w:tcW w:w="1020" w:type="dxa"/>
            <w:vMerge/>
          </w:tcPr>
          <w:p w:rsidR="009F66F4" w:rsidRDefault="009F66F4"/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сельская местность</w:t>
            </w:r>
          </w:p>
        </w:tc>
        <w:tc>
          <w:tcPr>
            <w:tcW w:w="2919" w:type="dxa"/>
            <w:gridSpan w:val="2"/>
            <w:vMerge/>
          </w:tcPr>
          <w:p w:rsidR="009F66F4" w:rsidRDefault="009F66F4"/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061" w:type="dxa"/>
            <w:vMerge/>
          </w:tcPr>
          <w:p w:rsidR="009F66F4" w:rsidRDefault="009F66F4"/>
        </w:tc>
        <w:tc>
          <w:tcPr>
            <w:tcW w:w="907" w:type="dxa"/>
            <w:vMerge/>
          </w:tcPr>
          <w:p w:rsidR="009F66F4" w:rsidRDefault="009F66F4"/>
        </w:tc>
        <w:tc>
          <w:tcPr>
            <w:tcW w:w="964" w:type="dxa"/>
            <w:vMerge/>
          </w:tcPr>
          <w:p w:rsidR="009F66F4" w:rsidRDefault="009F66F4"/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  <w:vMerge/>
          </w:tcPr>
          <w:p w:rsidR="009F66F4" w:rsidRDefault="009F66F4"/>
        </w:tc>
        <w:tc>
          <w:tcPr>
            <w:tcW w:w="1020" w:type="dxa"/>
            <w:vMerge/>
          </w:tcPr>
          <w:p w:rsidR="009F66F4" w:rsidRDefault="009F66F4"/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lastRenderedPageBreak/>
              <w:t>городская местность</w:t>
            </w:r>
          </w:p>
        </w:tc>
        <w:tc>
          <w:tcPr>
            <w:tcW w:w="2919" w:type="dxa"/>
            <w:gridSpan w:val="2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Число мест на программах дополнительного образования, реализуемых на базе образовательных организаций (за исключением общеобразовательных организаций), реализующих программы дополнительного образования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61" w:type="dxa"/>
            <w:vMerge/>
          </w:tcPr>
          <w:p w:rsidR="009F66F4" w:rsidRDefault="009F66F4"/>
        </w:tc>
        <w:tc>
          <w:tcPr>
            <w:tcW w:w="907" w:type="dxa"/>
            <w:vMerge/>
          </w:tcPr>
          <w:p w:rsidR="009F66F4" w:rsidRDefault="009F66F4"/>
        </w:tc>
        <w:tc>
          <w:tcPr>
            <w:tcW w:w="964" w:type="dxa"/>
            <w:vMerge/>
          </w:tcPr>
          <w:p w:rsidR="009F66F4" w:rsidRDefault="009F66F4"/>
        </w:tc>
        <w:tc>
          <w:tcPr>
            <w:tcW w:w="3005" w:type="dxa"/>
            <w:vMerge w:val="restart"/>
          </w:tcPr>
          <w:p w:rsidR="009F66F4" w:rsidRDefault="009F66F4">
            <w:pPr>
              <w:pStyle w:val="ConsPlusNormal"/>
              <w:jc w:val="both"/>
            </w:pPr>
            <w:r>
              <w:t>Удельный вес числа образовательных организаций, реализующих программы дополнительного образования, в которых создана универсальная безбарьерная среда для инклюзивного образования, детей-инвалидов в общем числе образовательных организаций, реализующих программы дополнительного образования (к 2020 г.), %</w:t>
            </w:r>
          </w:p>
        </w:tc>
        <w:tc>
          <w:tcPr>
            <w:tcW w:w="964" w:type="dxa"/>
            <w:vMerge w:val="restart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9F66F4" w:rsidRDefault="009F66F4">
            <w:pPr>
              <w:pStyle w:val="ConsPlusNormal"/>
            </w:pP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сельская местность</w:t>
            </w:r>
          </w:p>
        </w:tc>
        <w:tc>
          <w:tcPr>
            <w:tcW w:w="2919" w:type="dxa"/>
            <w:gridSpan w:val="2"/>
            <w:vMerge/>
          </w:tcPr>
          <w:p w:rsidR="009F66F4" w:rsidRDefault="009F66F4"/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vMerge/>
          </w:tcPr>
          <w:p w:rsidR="009F66F4" w:rsidRDefault="009F66F4"/>
        </w:tc>
        <w:tc>
          <w:tcPr>
            <w:tcW w:w="907" w:type="dxa"/>
            <w:vMerge/>
          </w:tcPr>
          <w:p w:rsidR="009F66F4" w:rsidRDefault="009F66F4"/>
        </w:tc>
        <w:tc>
          <w:tcPr>
            <w:tcW w:w="964" w:type="dxa"/>
            <w:vMerge/>
          </w:tcPr>
          <w:p w:rsidR="009F66F4" w:rsidRDefault="009F66F4"/>
        </w:tc>
        <w:tc>
          <w:tcPr>
            <w:tcW w:w="3005" w:type="dxa"/>
            <w:vMerge/>
          </w:tcPr>
          <w:p w:rsidR="009F66F4" w:rsidRDefault="009F66F4"/>
        </w:tc>
        <w:tc>
          <w:tcPr>
            <w:tcW w:w="964" w:type="dxa"/>
            <w:vMerge/>
          </w:tcPr>
          <w:p w:rsidR="009F66F4" w:rsidRDefault="009F66F4"/>
        </w:tc>
        <w:tc>
          <w:tcPr>
            <w:tcW w:w="1020" w:type="dxa"/>
            <w:vMerge/>
          </w:tcPr>
          <w:p w:rsidR="009F66F4" w:rsidRDefault="009F66F4"/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>Прием на программы среднего профессионального образования за счет бюджетных ассигнований в расчете на 100 человек, окончивших обучение по программам основного общего и среднего общего образования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>Число мест в общежитиях образовательных организаций субъекта Российской Федерации в расчете на 100 обучающихся на местах очной формы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9F66F4" w:rsidRDefault="009F66F4">
            <w:pPr>
              <w:pStyle w:val="ConsPlusNormal"/>
              <w:jc w:val="both"/>
            </w:pPr>
            <w:r>
              <w:t>Удельный вес числа образовательных организаций, реализующих программы среднего профессионального образования, здания которых приспособлены для обучения лиц с ограниченными возможностями здоровья (рекомендация на 2020 г.), %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9F66F4" w:rsidRDefault="009F66F4">
            <w:pPr>
              <w:pStyle w:val="ConsPlusNormal"/>
              <w:jc w:val="center"/>
            </w:pPr>
            <w:r>
              <w:t>25</w:t>
            </w: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Высшее образование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>Число мест за счет бюджетных ассигнований федерального бюджета в расчете на каждые 10 тыс. человек в возрасте от 17 до 30 лет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 xml:space="preserve">Обеспечить студентов общежитиями (удельный вес численности студентов, проживающих в общежитиях, в общей численности студентов, нуждающихся в общежитиях) - государственные (муниципальные) </w:t>
            </w:r>
            <w:r>
              <w:lastRenderedPageBreak/>
              <w:t>профессиональные образовательные организации, осуществляющие подготовку специалистов среднего звена, государственные (муниципальные) образовательные организации высшего образования (рекомендация на 2020 г.), %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05" w:type="dxa"/>
          </w:tcPr>
          <w:p w:rsidR="009F66F4" w:rsidRDefault="009F66F4">
            <w:pPr>
              <w:pStyle w:val="ConsPlusNormal"/>
              <w:jc w:val="both"/>
            </w:pPr>
            <w:r>
              <w:t xml:space="preserve">Удельный вес числа организаций среднего профессионального образования и организаций высшего образования, здания которых приспособлены для обучения лиц с ограниченными возможностями здоровья </w:t>
            </w:r>
            <w:r>
              <w:lastRenderedPageBreak/>
              <w:t>(рекомендация на 2020 г.), %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20" w:type="dxa"/>
          </w:tcPr>
          <w:p w:rsidR="009F66F4" w:rsidRDefault="009F66F4">
            <w:pPr>
              <w:pStyle w:val="ConsPlusNormal"/>
              <w:jc w:val="center"/>
            </w:pPr>
            <w:r>
              <w:t>25</w:t>
            </w:r>
          </w:p>
        </w:tc>
      </w:tr>
      <w:tr w:rsidR="009F66F4">
        <w:tc>
          <w:tcPr>
            <w:tcW w:w="17432" w:type="dxa"/>
            <w:gridSpan w:val="11"/>
          </w:tcPr>
          <w:p w:rsidR="009F66F4" w:rsidRDefault="009F66F4">
            <w:pPr>
              <w:pStyle w:val="ConsPlusNormal"/>
              <w:jc w:val="center"/>
              <w:outlineLvl w:val="2"/>
            </w:pPr>
            <w:r>
              <w:lastRenderedPageBreak/>
              <w:t>Психолого-педагогическая, медицинская и социальная помощь</w:t>
            </w: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городская местность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>один центр психолого-педагогической, медицинской и социальной помощи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на 5 тыс. детского населения, но не менее одной в муниципалитете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>время в пути к Центру, мин.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9F66F4" w:rsidRDefault="009F66F4">
            <w:pPr>
              <w:pStyle w:val="ConsPlusNormal"/>
              <w:jc w:val="both"/>
            </w:pPr>
            <w:r>
              <w:t>Удельный вес числа Центров, в которых создана универсальная безбарьерная среда (к 2020 г.), %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</w:tcPr>
          <w:p w:rsidR="009F66F4" w:rsidRDefault="009F66F4">
            <w:pPr>
              <w:pStyle w:val="ConsPlusNormal"/>
              <w:jc w:val="center"/>
            </w:pPr>
            <w:r>
              <w:t>0,95</w:t>
            </w: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сельская местность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>один центр психолого-педагогической, медицинской и социальной помощи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на 5 тыс. детского населения, но не менее 1 в районе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  <w:jc w:val="both"/>
            </w:pPr>
            <w:r>
              <w:t>время в пути к Центру, расположенному в сельской местности, мин.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9F66F4" w:rsidRDefault="009F66F4">
            <w:pPr>
              <w:pStyle w:val="ConsPlusNormal"/>
              <w:jc w:val="center"/>
            </w:pPr>
            <w:r>
              <w:t>0,5</w:t>
            </w: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городская местность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>одна психолого-медико-педагогическая комиссия (ПМПК)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>на 10 тыс. детского населения, но не менее 1 в субъекте РФ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07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</w:tcPr>
          <w:p w:rsidR="009F66F4" w:rsidRDefault="009F66F4">
            <w:pPr>
              <w:pStyle w:val="ConsPlusNormal"/>
            </w:pP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t>сельская местность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 xml:space="preserve">одна психолого-медико-педагогическая комиссия </w:t>
            </w:r>
            <w:r>
              <w:lastRenderedPageBreak/>
              <w:t>(ПМПК)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587" w:type="dxa"/>
          </w:tcPr>
          <w:p w:rsidR="009F66F4" w:rsidRDefault="009F66F4">
            <w:pPr>
              <w:pStyle w:val="ConsPlusNormal"/>
              <w:jc w:val="center"/>
            </w:pPr>
            <w:r>
              <w:t xml:space="preserve">на 10 тыс. детского </w:t>
            </w:r>
            <w:r>
              <w:lastRenderedPageBreak/>
              <w:t>населения, но не менее 1 в субъекте РФ</w:t>
            </w:r>
          </w:p>
        </w:tc>
        <w:tc>
          <w:tcPr>
            <w:tcW w:w="3061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07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64" w:type="dxa"/>
          </w:tcPr>
          <w:p w:rsidR="009F66F4" w:rsidRDefault="009F66F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</w:tcPr>
          <w:p w:rsidR="009F66F4" w:rsidRDefault="009F66F4">
            <w:pPr>
              <w:pStyle w:val="ConsPlusNormal"/>
            </w:pPr>
          </w:p>
        </w:tc>
      </w:tr>
      <w:tr w:rsidR="009F66F4">
        <w:tc>
          <w:tcPr>
            <w:tcW w:w="2098" w:type="dxa"/>
          </w:tcPr>
          <w:p w:rsidR="009F66F4" w:rsidRDefault="009F66F4">
            <w:pPr>
              <w:pStyle w:val="ConsPlusNormal"/>
              <w:jc w:val="both"/>
            </w:pPr>
            <w:r>
              <w:lastRenderedPageBreak/>
              <w:t>Отдельные образовательные организации, отдельные классы, отдельные группы, осуществляющие образовательную деятельность по адаптированным основным общеобразовательным программам для обучающихся с нарушением слуха, зрения, ОДА, речи, ЗПР, УО, РАС</w:t>
            </w:r>
          </w:p>
        </w:tc>
        <w:tc>
          <w:tcPr>
            <w:tcW w:w="2919" w:type="dxa"/>
            <w:gridSpan w:val="2"/>
          </w:tcPr>
          <w:p w:rsidR="009F66F4" w:rsidRDefault="009F66F4">
            <w:pPr>
              <w:pStyle w:val="ConsPlusNormal"/>
              <w:jc w:val="both"/>
            </w:pPr>
            <w:r>
              <w:t>не менее одной отдельной образовательной организации, отдельного класса, отдельной группы по каждому из нарушений развития в субъекте Российской Федерации</w:t>
            </w:r>
          </w:p>
        </w:tc>
        <w:tc>
          <w:tcPr>
            <w:tcW w:w="907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587" w:type="dxa"/>
          </w:tcPr>
          <w:p w:rsidR="009F66F4" w:rsidRDefault="009F66F4">
            <w:pPr>
              <w:pStyle w:val="ConsPlusNormal"/>
            </w:pPr>
          </w:p>
        </w:tc>
        <w:tc>
          <w:tcPr>
            <w:tcW w:w="3061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07" w:type="dxa"/>
          </w:tcPr>
          <w:p w:rsidR="009F66F4" w:rsidRDefault="009F66F4">
            <w:pPr>
              <w:pStyle w:val="ConsPlusNormal"/>
            </w:pPr>
          </w:p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3005" w:type="dxa"/>
          </w:tcPr>
          <w:p w:rsidR="009F66F4" w:rsidRDefault="009F66F4">
            <w:pPr>
              <w:pStyle w:val="ConsPlusNormal"/>
              <w:jc w:val="both"/>
            </w:pPr>
            <w:r>
              <w:t>Удельный вес числа образовательных организаций, осуществляющих образовательную деятельность по адаптированным основным общеобразовательным программам, в которых создана универсальная безбарьерная среда для образования детей-инвалидов и детей с ОВЗ (к 2020 году), %</w:t>
            </w:r>
          </w:p>
        </w:tc>
        <w:tc>
          <w:tcPr>
            <w:tcW w:w="964" w:type="dxa"/>
          </w:tcPr>
          <w:p w:rsidR="009F66F4" w:rsidRDefault="009F66F4">
            <w:pPr>
              <w:pStyle w:val="ConsPlusNormal"/>
            </w:pPr>
          </w:p>
        </w:tc>
        <w:tc>
          <w:tcPr>
            <w:tcW w:w="1020" w:type="dxa"/>
          </w:tcPr>
          <w:p w:rsidR="009F66F4" w:rsidRDefault="009F66F4">
            <w:pPr>
              <w:pStyle w:val="ConsPlusNormal"/>
              <w:jc w:val="center"/>
            </w:pPr>
            <w:r>
              <w:t>0,75</w:t>
            </w:r>
          </w:p>
        </w:tc>
      </w:tr>
    </w:tbl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jc w:val="both"/>
      </w:pPr>
    </w:p>
    <w:p w:rsidR="009F66F4" w:rsidRDefault="009F66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402B" w:rsidRDefault="00BB402B">
      <w:bookmarkStart w:id="2" w:name="_GoBack"/>
      <w:bookmarkEnd w:id="2"/>
    </w:p>
    <w:sectPr w:rsidR="00BB402B" w:rsidSect="00821F4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F4"/>
    <w:rsid w:val="009F66F4"/>
    <w:rsid w:val="00BB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6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66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66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6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66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66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8DDC7C98ABF91E4E98BA5728C0E24908EA20032BDD2A1AC7969DC563B87465E2CFA4740657845E1CO3G" TargetMode="External"/><Relationship Id="rId13" Type="http://schemas.openxmlformats.org/officeDocument/2006/relationships/hyperlink" Target="consultantplus://offline/ref=BB8DDC7C98ABF91E4E98BA5728C0E2490BEB22002FDC2A1AC7969DC5631BO8G" TargetMode="External"/><Relationship Id="rId18" Type="http://schemas.openxmlformats.org/officeDocument/2006/relationships/hyperlink" Target="consultantplus://offline/ref=BB8DDC7C98ABF91E4E98BA5728C0E2490BEC29072AD72A1AC7969DC5631BO8G" TargetMode="External"/><Relationship Id="rId26" Type="http://schemas.openxmlformats.org/officeDocument/2006/relationships/hyperlink" Target="consultantplus://offline/ref=BB8DDC7C98ABF91E4E98BA5728C0E2490BED28042CD22A1AC7969DC5631BO8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B8DDC7C98ABF91E4E98B34E2FC0E2490FEA230420D02A1AC7969DC5631BO8G" TargetMode="External"/><Relationship Id="rId34" Type="http://schemas.openxmlformats.org/officeDocument/2006/relationships/hyperlink" Target="consultantplus://offline/ref=BB8DDC7C98ABF91E4E98BA5728C0E24908EA20032BDD2A1AC7969DC563B87465E2CFA474065780551COBG" TargetMode="External"/><Relationship Id="rId7" Type="http://schemas.openxmlformats.org/officeDocument/2006/relationships/hyperlink" Target="consultantplus://offline/ref=BB8DDC7C98ABF91E4E98BA5728C0E24908EA26012DD12A1AC7969DC563B87465E2CFA4740657855D1CO7G" TargetMode="External"/><Relationship Id="rId12" Type="http://schemas.openxmlformats.org/officeDocument/2006/relationships/hyperlink" Target="consultantplus://offline/ref=BB8DDC7C98ABF91E4E98BA5728C0E2490BE320002AD32A1AC7969DC5631BO8G" TargetMode="External"/><Relationship Id="rId17" Type="http://schemas.openxmlformats.org/officeDocument/2006/relationships/hyperlink" Target="consultantplus://offline/ref=BB8DDC7C98ABF91E4E98BA5728C0E24908EA26012DD12A1AC7969DC563B87465E2CFA4740657855D1COAG" TargetMode="External"/><Relationship Id="rId25" Type="http://schemas.openxmlformats.org/officeDocument/2006/relationships/hyperlink" Target="consultantplus://offline/ref=BB8DDC7C98ABF91E4E98BA5728C0E2490BEF22062DD42A1AC7969DC5631BO8G" TargetMode="External"/><Relationship Id="rId33" Type="http://schemas.openxmlformats.org/officeDocument/2006/relationships/hyperlink" Target="consultantplus://offline/ref=BB8DDC7C98ABF91E4E98BA5728C0E24908EA26012DD12A1AC7969DC563B87465E2CFA4740657855C1CO0G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B8DDC7C98ABF91E4E98BA5728C0E24908EA20032BDD2A1AC7969DC563B87465E2CFA4740656815F1CO1G" TargetMode="External"/><Relationship Id="rId20" Type="http://schemas.openxmlformats.org/officeDocument/2006/relationships/hyperlink" Target="consultantplus://offline/ref=BB8DDC7C98ABF91E4E98A5422DC0E2490BE9290721DF7710CFCF91C716O4G" TargetMode="External"/><Relationship Id="rId29" Type="http://schemas.openxmlformats.org/officeDocument/2006/relationships/hyperlink" Target="consultantplus://offline/ref=BB8DDC7C98ABF91E4E98BA5728C0E2490BED25082EDC2A1AC7969DC5631BO8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B8DDC7C98ABF91E4E98BA5728C0E24908EA26012DD12A1AC7969DC563B87465E2CFA4740657855D1CO7G" TargetMode="External"/><Relationship Id="rId11" Type="http://schemas.openxmlformats.org/officeDocument/2006/relationships/hyperlink" Target="consultantplus://offline/ref=BB8DDC7C98ABF91E4E98BA5728C0E2490BE224072CD32A1AC7969DC5631BO8G" TargetMode="External"/><Relationship Id="rId24" Type="http://schemas.openxmlformats.org/officeDocument/2006/relationships/hyperlink" Target="consultantplus://offline/ref=BB8DDC7C98ABF91E4E98B34E2FC0E2490FEC270820DC2A1AC7969DC5631BO8G" TargetMode="External"/><Relationship Id="rId32" Type="http://schemas.openxmlformats.org/officeDocument/2006/relationships/hyperlink" Target="consultantplus://offline/ref=BB8DDC7C98ABF91E4E98BA5728C0E24908EA26012DD12A1AC7969DC563B87465E2CFA4740657855C1CO2G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B8DDC7C98ABF91E4E98BA5728C0E24908EA26012DD12A1AC7969DC563B87465E2CFA4740657855D1COAG" TargetMode="External"/><Relationship Id="rId23" Type="http://schemas.openxmlformats.org/officeDocument/2006/relationships/hyperlink" Target="consultantplus://offline/ref=BB8DDC7C98ABF91E4E98A5422DC0E2490BE2230529DF7710CFCF91C716O4G" TargetMode="External"/><Relationship Id="rId28" Type="http://schemas.openxmlformats.org/officeDocument/2006/relationships/hyperlink" Target="consultantplus://offline/ref=BB8DDC7C98ABF91E4E98BA5728C0E2490BEC25002AD22A1AC7969DC5631BO8G" TargetMode="External"/><Relationship Id="rId36" Type="http://schemas.openxmlformats.org/officeDocument/2006/relationships/hyperlink" Target="consultantplus://offline/ref=BB8DDC7C98ABF91E4E98BA5728C0E2490BEF22062DD42A1AC7969DC5631BO8G" TargetMode="External"/><Relationship Id="rId10" Type="http://schemas.openxmlformats.org/officeDocument/2006/relationships/hyperlink" Target="consultantplus://offline/ref=BB8DDC7C98ABF91E4E98BA5728C0E2490BE3290621DC2A1AC7969DC5631BO8G" TargetMode="External"/><Relationship Id="rId19" Type="http://schemas.openxmlformats.org/officeDocument/2006/relationships/hyperlink" Target="consultantplus://offline/ref=BB8DDC7C98ABF91E4E98BA5728C0E2490BE225062BD42A1AC7969DC5631BO8G" TargetMode="External"/><Relationship Id="rId31" Type="http://schemas.openxmlformats.org/officeDocument/2006/relationships/hyperlink" Target="consultantplus://offline/ref=BB8DDC7C98ABF91E4E98BA5728C0E2490BE3260921D12A1AC7969DC5631BO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8DDC7C98ABF91E4E98BA5728C0E24908EA210920D22A1AC7969DC5631BO8G" TargetMode="External"/><Relationship Id="rId14" Type="http://schemas.openxmlformats.org/officeDocument/2006/relationships/hyperlink" Target="consultantplus://offline/ref=BB8DDC7C98ABF91E4E98BA5728C0E2490BEB23042ADC2A1AC7969DC5631BO8G" TargetMode="External"/><Relationship Id="rId22" Type="http://schemas.openxmlformats.org/officeDocument/2006/relationships/hyperlink" Target="consultantplus://offline/ref=BB8DDC7C98ABF91E4E98A5422DC0E2490BE325042EDF7710CFCF91C716O4G" TargetMode="External"/><Relationship Id="rId27" Type="http://schemas.openxmlformats.org/officeDocument/2006/relationships/hyperlink" Target="consultantplus://offline/ref=BB8DDC7C98ABF91E4E98BA5728C0E24908EA25022ADC2A1AC7969DC5631BO8G" TargetMode="External"/><Relationship Id="rId30" Type="http://schemas.openxmlformats.org/officeDocument/2006/relationships/hyperlink" Target="consultantplus://offline/ref=BB8DDC7C98ABF91E4E98BA5728C0E2490BEC29072BD12A1AC7969DC5631BO8G" TargetMode="External"/><Relationship Id="rId35" Type="http://schemas.openxmlformats.org/officeDocument/2006/relationships/hyperlink" Target="consultantplus://offline/ref=BB8DDC7C98ABF91E4E98BA5728C0E2490BEF22062DD42A1AC7969DC5631BO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3342</Words>
  <Characters>19052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2016-12-23T06:14:00Z</dcterms:created>
  <dcterms:modified xsi:type="dcterms:W3CDTF">2016-12-23T06:16:00Z</dcterms:modified>
</cp:coreProperties>
</file>