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2"/>
        <w:keepNext/>
        <w:widowControl/>
        <w:shd w:fill="FFFFFF" w:val="clear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22"/>
        <w:keepNext/>
        <w:widowControl/>
        <w:shd w:fill="FFFFFF" w:val="clear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2"/>
        <w:keepNext/>
        <w:widowControl/>
        <w:shd w:fill="FFFFFF" w:val="clear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Информация</w:t>
      </w:r>
    </w:p>
    <w:p>
      <w:pPr>
        <w:pStyle w:val="22"/>
        <w:keepNext/>
        <w:widowControl/>
        <w:shd w:fill="FFFFFF" w:val="clear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о реализации мероприятий, направленных на достижение показателей, содержащихся в Указах Президента Российской Федерации от 7 мая 2012 года № 596-602, 606</w:t>
      </w:r>
    </w:p>
    <w:p>
      <w:pPr>
        <w:pStyle w:val="22"/>
        <w:keepNext/>
        <w:widowControl/>
        <w:shd w:fill="FFFFFF" w:val="clear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2"/>
        <w:keepNext/>
        <w:widowControl/>
        <w:shd w:fill="FFFFFF" w:val="clear"/>
        <w:spacing w:lineRule="auto" w:line="240" w:before="0" w:after="0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16028" w:type="dxa"/>
        <w:jc w:val="left"/>
        <w:tblInd w:w="10" w:type="dxa"/>
        <w:tblBorders>
          <w:top w:val="single" w:sz="4" w:space="0" w:color="000000"/>
          <w:left w:val="single" w:sz="4" w:space="0" w:color="000000"/>
        </w:tblBorders>
        <w:tblCellMar>
          <w:top w:w="0" w:type="dxa"/>
          <w:left w:w="5" w:type="dxa"/>
          <w:bottom w:w="0" w:type="dxa"/>
          <w:right w:w="10" w:type="dxa"/>
        </w:tblCellMar>
      </w:tblPr>
      <w:tblGrid>
        <w:gridCol w:w="671"/>
        <w:gridCol w:w="2174"/>
        <w:gridCol w:w="1843"/>
        <w:gridCol w:w="1440"/>
        <w:gridCol w:w="1435"/>
        <w:gridCol w:w="1440"/>
        <w:gridCol w:w="1355"/>
        <w:gridCol w:w="1418"/>
        <w:gridCol w:w="1417"/>
        <w:gridCol w:w="1271"/>
        <w:gridCol w:w="1564"/>
      </w:tblGrid>
      <w:tr>
        <w:trPr>
          <w:tblHeader w:val="true"/>
          <w:trHeight w:val="48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60"/>
              <w:ind w:right="240" w:hanging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№</w:t>
            </w:r>
            <w:r>
              <w:rPr>
                <w:rStyle w:val="TimesNewRoman8pt"/>
                <w:rFonts w:eastAsia="Arial" w:cs="Arial"/>
                <w:sz w:val="18"/>
                <w:szCs w:val="18"/>
              </w:rPr>
              <w:t>п/п</w:t>
            </w:r>
          </w:p>
        </w:tc>
        <w:tc>
          <w:tcPr>
            <w:tcW w:w="21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Реквизиты документа (НПА, поручения и т.д.)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6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Наименование</w:t>
            </w:r>
          </w:p>
          <w:p>
            <w:pPr>
              <w:pStyle w:val="11"/>
              <w:keepNext/>
              <w:widowControl/>
              <w:shd w:fill="FFFFFF" w:val="clear"/>
              <w:spacing w:lineRule="auto" w:line="240" w:before="6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мероприятия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Результат</w:t>
            </w:r>
          </w:p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исполнения</w:t>
            </w:r>
          </w:p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мероприятия</w:t>
            </w:r>
          </w:p>
        </w:tc>
        <w:tc>
          <w:tcPr>
            <w:tcW w:w="14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Дата</w:t>
            </w:r>
          </w:p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исполнения</w:t>
            </w:r>
          </w:p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мероприятия</w:t>
            </w:r>
          </w:p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(план)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Дата</w:t>
            </w:r>
          </w:p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исполнения</w:t>
            </w:r>
          </w:p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мероприятия</w:t>
            </w:r>
          </w:p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(факт)</w:t>
            </w:r>
          </w:p>
        </w:tc>
        <w:tc>
          <w:tcPr>
            <w:tcW w:w="5461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Финансирование, предусмотренное бюджетом субъекта Российской Федерации (млн. руб.)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Примечание</w:t>
            </w:r>
          </w:p>
        </w:tc>
      </w:tr>
      <w:tr>
        <w:trPr>
          <w:tblHeader w:val="true"/>
          <w:trHeight w:val="598" w:hRule="exact"/>
        </w:trPr>
        <w:tc>
          <w:tcPr>
            <w:tcW w:w="671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74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35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отчетная дата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плановое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фактическое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8"/>
                <w:szCs w:val="18"/>
              </w:rPr>
              <w:t>отклонение</w:t>
            </w:r>
          </w:p>
        </w:tc>
        <w:tc>
          <w:tcPr>
            <w:tcW w:w="15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blHeader w:val="true"/>
          <w:trHeight w:val="186" w:hRule="exact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6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10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/>
            </w:pPr>
            <w:r>
              <w:rPr>
                <w:rStyle w:val="TimesNewRoman8pt"/>
                <w:rFonts w:eastAsia="Arial" w:cs="Arial"/>
                <w:sz w:val="14"/>
                <w:szCs w:val="14"/>
              </w:rPr>
              <w:t>11</w:t>
            </w:r>
          </w:p>
        </w:tc>
      </w:tr>
      <w:tr>
        <w:trPr>
          <w:trHeight w:val="724" w:hRule="exact"/>
        </w:trPr>
        <w:tc>
          <w:tcPr>
            <w:tcW w:w="160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  <w:vAlign w:val="center"/>
          </w:tcPr>
          <w:p>
            <w:pPr>
              <w:pStyle w:val="Style21"/>
              <w:keepNext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 xml:space="preserve">Показатель 23. </w:t>
            </w:r>
          </w:p>
          <w:p>
            <w:pPr>
              <w:pStyle w:val="Style21"/>
              <w:keepNext/>
              <w:jc w:val="center"/>
              <w:rPr/>
            </w:pPr>
            <w:r>
              <w:rPr>
                <w:rStyle w:val="Style12"/>
                <w:rFonts w:cs="Arial" w:ascii="Arial" w:hAnsi="Arial"/>
                <w:b/>
              </w:rPr>
              <w:t>Достижение к 2016 году 100 процентов доступности дошкольного образования для детей в возрасте от трех до семи лет</w:t>
            </w:r>
          </w:p>
        </w:tc>
      </w:tr>
      <w:tr>
        <w:trPr>
          <w:trHeight w:val="4096" w:hRule="exact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tcMar>
              <w:top w:w="57" w:type="dxa"/>
              <w:left w:w="52" w:type="dxa"/>
              <w:bottom w:w="57" w:type="dxa"/>
              <w:right w:w="57" w:type="dxa"/>
            </w:tcMar>
          </w:tcPr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rPr/>
            </w:pPr>
            <w:r>
              <w:rPr>
                <w:rStyle w:val="Style12"/>
                <w:rFonts w:cs="Arial" w:ascii="Arial" w:hAnsi="Arial"/>
                <w:sz w:val="20"/>
                <w:szCs w:val="20"/>
              </w:rPr>
              <w:t>Распоряжение Правительства ТО от 09.12.2013 №2280-рп (в ред. от 05.11.2014); от 07.07.2014 № 1193-рп; от 15.07.2014 № 1258-рп; от 15.08.2014 № 1508-рп;)</w:t>
            </w:r>
            <w:r>
              <w:rPr>
                <w:rStyle w:val="Style12"/>
                <w:rFonts w:cs="Arial" w:ascii="Arial" w:hAnsi="Arial"/>
                <w:sz w:val="18"/>
                <w:szCs w:val="18"/>
              </w:rPr>
              <w:t xml:space="preserve">. </w:t>
            </w:r>
            <w:r>
              <w:rPr>
                <w:rStyle w:val="Style12"/>
                <w:rFonts w:cs="Arial" w:ascii="Arial" w:hAnsi="Arial"/>
                <w:sz w:val="20"/>
                <w:szCs w:val="20"/>
              </w:rPr>
              <w:t xml:space="preserve">Распоряжение Правительства РФ от 03.02.2014 № 131-р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Реализация мероприятий по модернизации региональной системы дошкольного образования (строительство и капитальный ремонт, а также оснащение мебелью и оборудованием дошкольных организаций)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В течение </w:t>
            </w:r>
          </w:p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года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697,511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697,511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0,0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8569" w:hRule="exact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top w:w="57" w:type="dxa"/>
              <w:left w:w="52" w:type="dxa"/>
              <w:bottom w:w="57" w:type="dxa"/>
              <w:right w:w="57" w:type="dxa"/>
            </w:tcMar>
          </w:tcPr>
          <w:p>
            <w:pPr>
              <w:pStyle w:val="Style21"/>
              <w:keepNext/>
              <w:rPr/>
            </w:pPr>
            <w:r>
              <w:rPr>
                <w:rStyle w:val="Style12"/>
                <w:rFonts w:cs="Arial" w:ascii="Arial" w:hAnsi="Arial"/>
                <w:sz w:val="20"/>
                <w:szCs w:val="20"/>
              </w:rPr>
              <w:t>Распоряжение Правительства РФ от 30.01.2015 № 143-р «О порядке предоставления и распределения в 2015 году субсидий из федерального бюджета бюджетам субъектов Российской Федерации на модернизацию региональных систем дошкольного образования». Соглашение №08.Т07.24.0831 от 12.05.2015 между Министерством образования и науки РФ и Правительством ТО о предоставлении субсидии на модернизацию региональных систем дошкольного образования,</w:t>
            </w:r>
            <w:r>
              <w:rPr>
                <w:rStyle w:val="Style12"/>
                <w:rFonts w:cs="Arial" w:ascii="Arial" w:hAnsi="Arial"/>
                <w:sz w:val="20"/>
                <w:szCs w:val="20"/>
                <w:highlight w:val="cyan"/>
              </w:rPr>
              <w:t xml:space="preserve"> </w:t>
            </w:r>
            <w:r>
              <w:rPr>
                <w:rStyle w:val="Style12"/>
                <w:rFonts w:cs="Arial" w:ascii="Arial" w:hAnsi="Arial"/>
                <w:sz w:val="20"/>
                <w:szCs w:val="20"/>
              </w:rPr>
              <w:t>дополнительное соглашение № 1 от 18.06.2015,</w:t>
            </w:r>
          </w:p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дополнительное соглашение № 2 от 25.12.2015.</w:t>
            </w:r>
          </w:p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Реализация мероприятий по модернизации региональной системы дошкольного образования (строительство и капитальный ремонт, а также оснащение мебелью и оборудованием дошкольных организаций)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 xml:space="preserve">-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В течение </w:t>
            </w:r>
          </w:p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года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 xml:space="preserve">- 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59,307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59,307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0,0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162" w:hRule="exact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top w:w="57" w:type="dxa"/>
              <w:left w:w="52" w:type="dxa"/>
              <w:bottom w:w="57" w:type="dxa"/>
              <w:right w:w="57" w:type="dxa"/>
            </w:tcMar>
          </w:tcPr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11"/>
              <w:keepNext/>
              <w:widowControl/>
              <w:shd w:fill="FFFFFF" w:val="clear"/>
              <w:spacing w:lineRule="auto" w:line="240" w:before="0" w:after="0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507" w:hRule="exact"/>
        </w:trPr>
        <w:tc>
          <w:tcPr>
            <w:tcW w:w="16028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eastAsia="Arial" w:cs="Arial"/>
                <w:b/>
                <w:b/>
                <w:bCs/>
                <w:spacing w:val="-1"/>
                <w:sz w:val="20"/>
                <w:szCs w:val="20"/>
                <w:lang w:eastAsia="en-US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20"/>
                <w:szCs w:val="20"/>
                <w:lang w:eastAsia="en-US"/>
              </w:rPr>
              <w:t>Показатель 26. 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  <w:p>
            <w:pPr>
              <w:pStyle w:val="Style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3911" w:hRule="exact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Распоряжение Правительства ТО от 17.02.2014 № 169-рп Распоряжение Правительства РФ от 31 марта 2014 г. N 484-р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Дооборудование для МГН приоритетных объектов социальной инфраструктуры элементами доступности и техническими средствами адаптации (оборудование зон оказания услуг) (в рамках ГП «Доступная среда» на 2011-2015 годы)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В течение года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11"/>
              <w:shd w:fill="FFFFFF" w:val="clear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24,428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24,428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0,0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4110" w:hRule="exact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Постановление Правительства ТО  от 30.12.2014 № 698-п «Об утверждении государственной программы  ТО «Основные направления развития образования и науки» до 2020 года» (в ред. от 27.04.2015).</w:t>
            </w:r>
          </w:p>
          <w:p>
            <w:pPr>
              <w:pStyle w:val="Style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Style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Дооборудование для МГН приоритетных объектов социальной инфраструктуры элементами доступности и техническими средствами адаптации (оборудование зон оказания услуг) (в рамках ГП «Доступная среда» на 2011-2015 годы)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 xml:space="preserve">-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В течение </w:t>
            </w:r>
          </w:p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Arial" w:ascii="Arial" w:hAnsi="Arial"/>
                <w:sz w:val="20"/>
                <w:szCs w:val="20"/>
              </w:rPr>
              <w:t>года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11"/>
              <w:shd w:fill="FFFFFF" w:val="clear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0,0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FFFFFF" w:val="clear"/>
            <w:tcMar>
              <w:left w:w="5" w:type="dxa"/>
            </w:tcMar>
          </w:tcPr>
          <w:p>
            <w:pPr>
              <w:pStyle w:val="Style2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Style21"/>
        <w:keepNext/>
        <w:jc w:val="right"/>
        <w:rPr>
          <w:rFonts w:ascii="Arial" w:hAnsi="Arial" w:cs="Arial"/>
          <w:b/>
          <w:b/>
          <w:bCs/>
          <w:i/>
          <w:i/>
          <w:iCs/>
          <w:sz w:val="4"/>
          <w:szCs w:val="4"/>
        </w:rPr>
      </w:pPr>
      <w:r>
        <w:rPr>
          <w:rFonts w:cs="Arial" w:ascii="Arial" w:hAnsi="Arial"/>
          <w:b/>
          <w:bCs/>
          <w:i/>
          <w:iCs/>
          <w:sz w:val="4"/>
          <w:szCs w:val="4"/>
        </w:rPr>
      </w:r>
    </w:p>
    <w:sectPr>
      <w:footerReference w:type="default" r:id="rId2"/>
      <w:type w:val="nextPage"/>
      <w:pgSz w:orient="landscape" w:w="16838" w:h="11906"/>
      <w:pgMar w:left="567" w:right="567" w:header="0" w:top="709" w:footer="709" w:bottom="568" w:gutter="0"/>
      <w:pgNumType w:fmt="decimal"/>
      <w:formProt w:val="false"/>
      <w:titlePg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Verdana">
    <w:charset w:val="cc"/>
    <w:family w:val="swiss"/>
    <w:pitch w:val="variable"/>
  </w:font>
  <w:font w:name="Arial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3</w:t>
    </w:r>
    <w: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/>
      <w:keepLines w:val="false"/>
      <w:pageBreakBefore w:val="false"/>
      <w:widowControl/>
      <w:pBdr/>
      <w:shd w:fill="FFFFFF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0"/>
      <w:u w:val="none"/>
      <w:vertAlign w:val="baseline"/>
      <w:em w:val="none"/>
      <w:lang w:val="ru-RU" w:eastAsia="ru-RU" w:bidi="ar-SA"/>
    </w:rPr>
  </w:style>
  <w:style w:type="paragraph" w:styleId="1">
    <w:name w:val="Заголовок 1"/>
    <w:basedOn w:val="Style21"/>
    <w:next w:val="Style21"/>
    <w:pPr>
      <w:keepNext/>
      <w:numPr>
        <w:ilvl w:val="0"/>
        <w:numId w:val="1"/>
      </w:numPr>
      <w:suppressAutoHyphens w:val="true"/>
      <w:jc w:val="center"/>
      <w:outlineLvl w:val="0"/>
      <w:outlineLvl w:val="0"/>
    </w:pPr>
    <w:rPr>
      <w:sz w:val="28"/>
    </w:rPr>
  </w:style>
  <w:style w:type="paragraph" w:styleId="3">
    <w:name w:val="Заголовок 3"/>
    <w:basedOn w:val="Style21"/>
    <w:next w:val="Style21"/>
    <w:pPr>
      <w:keepNext/>
      <w:numPr>
        <w:ilvl w:val="2"/>
        <w:numId w:val="1"/>
      </w:numPr>
      <w:suppressAutoHyphens w:val="true"/>
      <w:jc w:val="center"/>
      <w:outlineLvl w:val="2"/>
      <w:outlineLvl w:val="2"/>
    </w:pPr>
    <w:rPr>
      <w:szCs w:val="20"/>
    </w:rPr>
  </w:style>
  <w:style w:type="character" w:styleId="Style12">
    <w:name w:val="Основной шрифт абзаца"/>
    <w:qFormat/>
    <w:rPr/>
  </w:style>
  <w:style w:type="character" w:styleId="Style13">
    <w:name w:val="Номер страницы"/>
    <w:basedOn w:val="Style12"/>
    <w:rPr/>
  </w:style>
  <w:style w:type="character" w:styleId="Endtextblock1">
    <w:name w:val="endtextblock1"/>
    <w:qFormat/>
    <w:rPr>
      <w:rFonts w:ascii="Verdana" w:hAnsi="Verdana"/>
      <w:i w:val="false"/>
      <w:iCs w:val="false"/>
      <w:sz w:val="18"/>
      <w:szCs w:val="18"/>
    </w:rPr>
  </w:style>
  <w:style w:type="character" w:styleId="31">
    <w:name w:val="Заголовок 3 Знак"/>
    <w:qFormat/>
    <w:rPr>
      <w:sz w:val="24"/>
    </w:rPr>
  </w:style>
  <w:style w:type="character" w:styleId="Style14">
    <w:name w:val="Основной текст Знак"/>
    <w:qFormat/>
    <w:rPr>
      <w:b/>
      <w:bCs/>
      <w:sz w:val="24"/>
    </w:rPr>
  </w:style>
  <w:style w:type="character" w:styleId="Style15">
    <w:name w:val="Гиперссылка"/>
    <w:qFormat/>
    <w:rPr>
      <w:color w:val="0000FF"/>
      <w:u w:val="single"/>
    </w:rPr>
  </w:style>
  <w:style w:type="character" w:styleId="Style16">
    <w:name w:val="Просмотренная гиперссылка"/>
    <w:qFormat/>
    <w:rPr>
      <w:color w:val="800080"/>
      <w:u w:val="single"/>
    </w:rPr>
  </w:style>
  <w:style w:type="character" w:styleId="Style17">
    <w:name w:val="Нижний колонтитул Знак"/>
    <w:qFormat/>
    <w:rPr>
      <w:sz w:val="24"/>
      <w:szCs w:val="24"/>
    </w:rPr>
  </w:style>
  <w:style w:type="character" w:styleId="2">
    <w:name w:val="Основной текст (2)_"/>
    <w:qFormat/>
    <w:rPr>
      <w:rFonts w:ascii="Arial" w:hAnsi="Arial" w:eastAsia="Arial" w:cs="Arial"/>
      <w:b/>
      <w:bCs/>
      <w:spacing w:val="3"/>
      <w:sz w:val="23"/>
      <w:szCs w:val="23"/>
      <w:highlight w:val="white"/>
    </w:rPr>
  </w:style>
  <w:style w:type="character" w:styleId="Style18">
    <w:name w:val="Основной текст_"/>
    <w:qFormat/>
    <w:rPr>
      <w:rFonts w:ascii="Arial" w:hAnsi="Arial" w:eastAsia="Arial" w:cs="Arial"/>
      <w:spacing w:val="-1"/>
      <w:highlight w:val="white"/>
    </w:rPr>
  </w:style>
  <w:style w:type="character" w:styleId="TimesNewRoman8pt">
    <w:name w:val="Основной текст + Times New Roman;8 pt;Полужирный"/>
    <w:qFormat/>
    <w:rPr>
      <w:rFonts w:ascii="Times New Roman" w:hAnsi="Times New Roman" w:eastAsia="Times New Roman" w:cs="Times New Roman"/>
      <w:b/>
      <w:bCs/>
      <w:i w:val="false"/>
      <w:iCs w:val="false"/>
      <w:strike w:val="false"/>
      <w:dstrike w:val="false"/>
      <w:color w:val="000000"/>
      <w:spacing w:val="-1"/>
      <w:w w:val="100"/>
      <w:position w:val="0"/>
      <w:sz w:val="16"/>
      <w:sz w:val="16"/>
      <w:szCs w:val="16"/>
      <w:u w:val="none"/>
      <w:vertAlign w:val="baseline"/>
      <w:lang w:val="ru-RU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" w:hAnsi="Liberation Sans" w:eastAsia="MS Mincho" w:cs="Tahoma"/>
      <w:sz w:val="28"/>
      <w:szCs w:val="28"/>
    </w:rPr>
  </w:style>
  <w:style w:type="paragraph" w:styleId="Style20">
    <w:name w:val="Основной текст"/>
    <w:basedOn w:val="Style21"/>
    <w:pPr>
      <w:suppressAutoHyphens w:val="true"/>
      <w:jc w:val="center"/>
    </w:pPr>
    <w:rPr>
      <w:b/>
      <w:bCs/>
      <w:szCs w:val="20"/>
    </w:rPr>
  </w:style>
  <w:style w:type="paragraph" w:styleId="Style21">
    <w:name w:val="Обычный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ru-RU" w:eastAsia="ru-RU" w:bidi="ar-SA"/>
    </w:rPr>
  </w:style>
  <w:style w:type="paragraph" w:styleId="Style22">
    <w:name w:val="Основной текст с отступом"/>
    <w:basedOn w:val="Style21"/>
    <w:pPr>
      <w:suppressAutoHyphens w:val="true"/>
      <w:autoSpaceDE w:val="false"/>
      <w:ind w:firstLine="567"/>
      <w:jc w:val="both"/>
    </w:pPr>
    <w:rPr>
      <w:sz w:val="28"/>
      <w:szCs w:val="28"/>
    </w:rPr>
  </w:style>
  <w:style w:type="paragraph" w:styleId="21">
    <w:name w:val="Основной текст 2"/>
    <w:basedOn w:val="Style21"/>
    <w:qFormat/>
    <w:pPr>
      <w:suppressAutoHyphens w:val="true"/>
    </w:pPr>
    <w:rPr>
      <w:sz w:val="28"/>
      <w:szCs w:val="20"/>
    </w:rPr>
  </w:style>
  <w:style w:type="paragraph" w:styleId="Style23">
    <w:name w:val="Верхний колонтитул"/>
    <w:basedOn w:val="Style21"/>
    <w:pPr>
      <w:tabs>
        <w:tab w:val="center" w:pos="4677" w:leader="none"/>
        <w:tab w:val="right" w:pos="9355" w:leader="none"/>
      </w:tabs>
      <w:suppressAutoHyphens w:val="true"/>
    </w:pPr>
    <w:rPr/>
  </w:style>
  <w:style w:type="paragraph" w:styleId="Style24">
    <w:name w:val="Нижний колонтитул"/>
    <w:basedOn w:val="Style21"/>
    <w:pPr>
      <w:tabs>
        <w:tab w:val="center" w:pos="4677" w:leader="none"/>
        <w:tab w:val="right" w:pos="9355" w:leader="none"/>
      </w:tabs>
      <w:suppressAutoHyphens w:val="true"/>
    </w:pPr>
    <w:rPr/>
  </w:style>
  <w:style w:type="paragraph" w:styleId="Style25">
    <w:name w:val="Текст выноски"/>
    <w:basedOn w:val="Style21"/>
    <w:qFormat/>
    <w:pPr>
      <w:suppressAutoHyphens w:val="true"/>
    </w:pPr>
    <w:rPr>
      <w:rFonts w:ascii="Tahoma" w:hAnsi="Tahoma" w:cs="Tahoma"/>
      <w:sz w:val="16"/>
      <w:szCs w:val="16"/>
    </w:rPr>
  </w:style>
  <w:style w:type="paragraph" w:styleId="32">
    <w:name w:val="Основной текст 3"/>
    <w:basedOn w:val="Style21"/>
    <w:qFormat/>
    <w:pPr>
      <w:suppressAutoHyphens w:val="true"/>
      <w:spacing w:before="0" w:after="120"/>
    </w:pPr>
    <w:rPr>
      <w:sz w:val="16"/>
      <w:szCs w:val="16"/>
    </w:rPr>
  </w:style>
  <w:style w:type="paragraph" w:styleId="Style26">
    <w:name w:val="Абзац списка"/>
    <w:basedOn w:val="Style21"/>
    <w:qFormat/>
    <w:pPr>
      <w:suppressAutoHyphens w:val="true"/>
      <w:spacing w:lineRule="auto" w:line="276" w:before="0" w:after="200"/>
      <w:ind w:left="720" w:hanging="0"/>
    </w:pPr>
    <w:rPr>
      <w:rFonts w:ascii="Arial" w:hAnsi="Arial" w:eastAsia="Calibri"/>
      <w:sz w:val="28"/>
      <w:szCs w:val="22"/>
      <w:lang w:eastAsia="en-US"/>
    </w:rPr>
  </w:style>
  <w:style w:type="paragraph" w:styleId="Font5">
    <w:name w:val="font5"/>
    <w:basedOn w:val="Style21"/>
    <w:qFormat/>
    <w:pPr>
      <w:suppressAutoHyphens w:val="true"/>
      <w:spacing w:before="100" w:after="100"/>
    </w:pPr>
    <w:rPr>
      <w:b/>
      <w:bCs/>
    </w:rPr>
  </w:style>
  <w:style w:type="paragraph" w:styleId="Xl67">
    <w:name w:val="xl67"/>
    <w:basedOn w:val="Style21"/>
    <w:qFormat/>
    <w:pPr>
      <w:suppressAutoHyphens w:val="true"/>
      <w:spacing w:before="100" w:after="100"/>
    </w:pPr>
    <w:rPr>
      <w:rFonts w:ascii="Arial" w:hAnsi="Arial" w:cs="Arial"/>
    </w:rPr>
  </w:style>
  <w:style w:type="paragraph" w:styleId="Xl68">
    <w:name w:val="xl68"/>
    <w:basedOn w:val="Style21"/>
    <w:qFormat/>
    <w:pPr>
      <w:suppressAutoHyphens w:val="true"/>
      <w:spacing w:before="100" w:after="100"/>
    </w:pPr>
    <w:rPr>
      <w:rFonts w:ascii="Arial" w:hAnsi="Arial" w:cs="Arial"/>
    </w:rPr>
  </w:style>
  <w:style w:type="paragraph" w:styleId="Xl69">
    <w:name w:val="xl69"/>
    <w:basedOn w:val="Style21"/>
    <w:qFormat/>
    <w:pPr>
      <w:suppressAutoHyphens w:val="true"/>
      <w:spacing w:before="100" w:after="100"/>
    </w:pPr>
    <w:rPr>
      <w:rFonts w:ascii="Arial" w:hAnsi="Arial" w:cs="Arial"/>
    </w:rPr>
  </w:style>
  <w:style w:type="paragraph" w:styleId="Xl70">
    <w:name w:val="xl70"/>
    <w:basedOn w:val="Style21"/>
    <w:qFormat/>
    <w:pPr>
      <w:suppressAutoHyphens w:val="true"/>
      <w:spacing w:before="100" w:after="100"/>
      <w:jc w:val="center"/>
      <w:textAlignment w:val="center"/>
    </w:pPr>
    <w:rPr>
      <w:rFonts w:ascii="Arial" w:hAnsi="Arial" w:cs="Arial"/>
    </w:rPr>
  </w:style>
  <w:style w:type="paragraph" w:styleId="Xl71">
    <w:name w:val="xl71"/>
    <w:basedOn w:val="Style21"/>
    <w:qFormat/>
    <w:pPr>
      <w:shd w:fill="CCFFFF" w:val="clear"/>
      <w:suppressAutoHyphens w:val="true"/>
      <w:spacing w:before="100" w:after="100"/>
    </w:pPr>
    <w:rPr>
      <w:rFonts w:ascii="Arial" w:hAnsi="Arial" w:cs="Arial"/>
    </w:rPr>
  </w:style>
  <w:style w:type="paragraph" w:styleId="Xl72">
    <w:name w:val="xl72"/>
    <w:basedOn w:val="Style21"/>
    <w:qFormat/>
    <w:pPr>
      <w:suppressAutoHyphens w:val="true"/>
      <w:spacing w:before="100" w:after="100"/>
    </w:pPr>
    <w:rPr>
      <w:rFonts w:ascii="Arial" w:hAnsi="Arial" w:cs="Arial"/>
      <w:sz w:val="22"/>
      <w:szCs w:val="22"/>
    </w:rPr>
  </w:style>
  <w:style w:type="paragraph" w:styleId="Xl73">
    <w:name w:val="xl73"/>
    <w:basedOn w:val="Style21"/>
    <w:qFormat/>
    <w:pPr>
      <w:shd w:fill="FF99CC" w:val="clear"/>
      <w:suppressAutoHyphens w:val="true"/>
      <w:spacing w:before="100" w:after="100"/>
    </w:pPr>
    <w:rPr>
      <w:rFonts w:ascii="Arial" w:hAnsi="Arial" w:cs="Arial"/>
    </w:rPr>
  </w:style>
  <w:style w:type="paragraph" w:styleId="Xl74">
    <w:name w:val="xl74"/>
    <w:basedOn w:val="Style21"/>
    <w:qFormat/>
    <w:pPr>
      <w:shd w:fill="CC99FF" w:val="clear"/>
      <w:suppressAutoHyphens w:val="true"/>
      <w:spacing w:before="100" w:after="100"/>
    </w:pPr>
    <w:rPr>
      <w:rFonts w:ascii="Arial" w:hAnsi="Arial" w:cs="Arial"/>
    </w:rPr>
  </w:style>
  <w:style w:type="paragraph" w:styleId="Xl75">
    <w:name w:val="xl75"/>
    <w:basedOn w:val="Style21"/>
    <w:qFormat/>
    <w:pPr>
      <w:suppressAutoHyphens w:val="true"/>
      <w:spacing w:before="100" w:after="100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76">
    <w:name w:val="xl76"/>
    <w:basedOn w:val="Style21"/>
    <w:qFormat/>
    <w:pPr>
      <w:shd w:fill="FFFFFF" w:val="clear"/>
      <w:suppressAutoHyphens w:val="true"/>
      <w:spacing w:before="100" w:after="100"/>
    </w:pPr>
    <w:rPr>
      <w:rFonts w:ascii="Arial" w:hAnsi="Arial" w:cs="Arial"/>
    </w:rPr>
  </w:style>
  <w:style w:type="paragraph" w:styleId="Xl77">
    <w:name w:val="xl7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78">
    <w:name w:val="xl7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79">
    <w:name w:val="xl7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textAlignment w:val="center"/>
    </w:pPr>
    <w:rPr/>
  </w:style>
  <w:style w:type="paragraph" w:styleId="Xl80">
    <w:name w:val="xl8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textAlignment w:val="center"/>
    </w:pPr>
    <w:rPr/>
  </w:style>
  <w:style w:type="paragraph" w:styleId="Xl81">
    <w:name w:val="xl8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82">
    <w:name w:val="xl8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83">
    <w:name w:val="xl8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84">
    <w:name w:val="xl8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FFFF" w:val="clear"/>
      <w:suppressAutoHyphens w:val="true"/>
      <w:spacing w:before="100" w:after="100"/>
      <w:jc w:val="center"/>
      <w:textAlignment w:val="center"/>
    </w:pPr>
    <w:rPr>
      <w:b/>
      <w:bCs/>
    </w:rPr>
  </w:style>
  <w:style w:type="paragraph" w:styleId="Xl85">
    <w:name w:val="xl8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textAlignment w:val="top"/>
    </w:pPr>
    <w:rPr>
      <w:b/>
      <w:bCs/>
      <w:i/>
      <w:iCs/>
    </w:rPr>
  </w:style>
  <w:style w:type="paragraph" w:styleId="Xl86">
    <w:name w:val="xl8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87">
    <w:name w:val="xl8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88">
    <w:name w:val="xl8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</w:pPr>
    <w:rPr/>
  </w:style>
  <w:style w:type="paragraph" w:styleId="Xl89">
    <w:name w:val="xl8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textAlignment w:val="top"/>
    </w:pPr>
    <w:rPr>
      <w:b/>
      <w:bCs/>
      <w:i/>
      <w:iCs/>
    </w:rPr>
  </w:style>
  <w:style w:type="paragraph" w:styleId="Xl90">
    <w:name w:val="xl9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</w:pPr>
    <w:rPr>
      <w:b/>
      <w:bCs/>
    </w:rPr>
  </w:style>
  <w:style w:type="paragraph" w:styleId="Xl91">
    <w:name w:val="xl9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92">
    <w:name w:val="xl9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93">
    <w:name w:val="xl9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94">
    <w:name w:val="xl9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95">
    <w:name w:val="xl9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</w:pPr>
    <w:rPr/>
  </w:style>
  <w:style w:type="paragraph" w:styleId="Xl96">
    <w:name w:val="xl9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textAlignment w:val="top"/>
    </w:pPr>
    <w:rPr>
      <w:b/>
      <w:bCs/>
    </w:rPr>
  </w:style>
  <w:style w:type="paragraph" w:styleId="Xl97">
    <w:name w:val="xl9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textAlignment w:val="top"/>
    </w:pPr>
    <w:rPr/>
  </w:style>
  <w:style w:type="paragraph" w:styleId="Xl98">
    <w:name w:val="xl9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99">
    <w:name w:val="xl9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textAlignment w:val="top"/>
    </w:pPr>
    <w:rPr/>
  </w:style>
  <w:style w:type="paragraph" w:styleId="Xl100">
    <w:name w:val="xl10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textAlignment w:val="top"/>
    </w:pPr>
    <w:rPr>
      <w:b/>
      <w:bCs/>
    </w:rPr>
  </w:style>
  <w:style w:type="paragraph" w:styleId="Xl101">
    <w:name w:val="xl10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02">
    <w:name w:val="xl10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03">
    <w:name w:val="xl10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04">
    <w:name w:val="xl10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05">
    <w:name w:val="xl10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06">
    <w:name w:val="xl10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07">
    <w:name w:val="xl10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textAlignment w:val="top"/>
    </w:pPr>
    <w:rPr>
      <w:b/>
      <w:bCs/>
      <w:i/>
      <w:iCs/>
    </w:rPr>
  </w:style>
  <w:style w:type="paragraph" w:styleId="Xl108">
    <w:name w:val="xl10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top"/>
    </w:pPr>
    <w:rPr/>
  </w:style>
  <w:style w:type="paragraph" w:styleId="Xl109">
    <w:name w:val="xl10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</w:pPr>
    <w:rPr/>
  </w:style>
  <w:style w:type="paragraph" w:styleId="Xl110">
    <w:name w:val="xl11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11">
    <w:name w:val="xl11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textAlignment w:val="top"/>
    </w:pPr>
    <w:rPr/>
  </w:style>
  <w:style w:type="paragraph" w:styleId="Xl112">
    <w:name w:val="xl11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13">
    <w:name w:val="xl11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14">
    <w:name w:val="xl11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15">
    <w:name w:val="xl11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16">
    <w:name w:val="xl11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17">
    <w:name w:val="xl11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</w:pPr>
    <w:rPr>
      <w:b/>
      <w:bCs/>
    </w:rPr>
  </w:style>
  <w:style w:type="paragraph" w:styleId="Xl118">
    <w:name w:val="xl11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19">
    <w:name w:val="xl11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20">
    <w:name w:val="xl12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21">
    <w:name w:val="xl12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22">
    <w:name w:val="xl12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23">
    <w:name w:val="xl12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24">
    <w:name w:val="xl12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25">
    <w:name w:val="xl12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26">
    <w:name w:val="xl12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27">
    <w:name w:val="xl12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28">
    <w:name w:val="xl12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29">
    <w:name w:val="xl12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</w:pPr>
    <w:rPr/>
  </w:style>
  <w:style w:type="paragraph" w:styleId="Xl130">
    <w:name w:val="xl13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right"/>
      <w:textAlignment w:val="top"/>
    </w:pPr>
    <w:rPr/>
  </w:style>
  <w:style w:type="paragraph" w:styleId="Xl131">
    <w:name w:val="xl131"/>
    <w:basedOn w:val="Style21"/>
    <w:qFormat/>
    <w:pPr>
      <w:suppressAutoHyphens w:val="true"/>
      <w:spacing w:before="100" w:after="100"/>
      <w:jc w:val="right"/>
      <w:textAlignment w:val="top"/>
    </w:pPr>
    <w:rPr/>
  </w:style>
  <w:style w:type="paragraph" w:styleId="Xl132">
    <w:name w:val="xl13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textAlignment w:val="top"/>
    </w:pPr>
    <w:rPr>
      <w:b/>
      <w:bCs/>
    </w:rPr>
  </w:style>
  <w:style w:type="paragraph" w:styleId="Xl133">
    <w:name w:val="xl13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textAlignment w:val="top"/>
    </w:pPr>
    <w:rPr/>
  </w:style>
  <w:style w:type="paragraph" w:styleId="Xl134">
    <w:name w:val="xl13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35">
    <w:name w:val="xl13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36">
    <w:name w:val="xl13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37">
    <w:name w:val="xl13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textAlignment w:val="top"/>
    </w:pPr>
    <w:rPr/>
  </w:style>
  <w:style w:type="paragraph" w:styleId="Xl138">
    <w:name w:val="xl13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textAlignment w:val="top"/>
    </w:pPr>
    <w:rPr>
      <w:b/>
      <w:bCs/>
    </w:rPr>
  </w:style>
  <w:style w:type="paragraph" w:styleId="Xl139">
    <w:name w:val="xl13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40">
    <w:name w:val="xl14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41">
    <w:name w:val="xl14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</w:pPr>
    <w:rPr/>
  </w:style>
  <w:style w:type="paragraph" w:styleId="Xl142">
    <w:name w:val="xl14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textAlignment w:val="top"/>
    </w:pPr>
    <w:rPr>
      <w:b/>
      <w:bCs/>
      <w:i/>
      <w:iCs/>
    </w:rPr>
  </w:style>
  <w:style w:type="paragraph" w:styleId="Xl143">
    <w:name w:val="xl14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44">
    <w:name w:val="xl14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45">
    <w:name w:val="xl14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</w:pPr>
    <w:rPr/>
  </w:style>
  <w:style w:type="paragraph" w:styleId="Xl146">
    <w:name w:val="xl14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47">
    <w:name w:val="xl14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48">
    <w:name w:val="xl14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textAlignment w:val="top"/>
    </w:pPr>
    <w:rPr>
      <w:b/>
      <w:bCs/>
    </w:rPr>
  </w:style>
  <w:style w:type="paragraph" w:styleId="Xl149">
    <w:name w:val="xl14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50">
    <w:name w:val="xl15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textAlignment w:val="top"/>
    </w:pPr>
    <w:rPr/>
  </w:style>
  <w:style w:type="paragraph" w:styleId="Xl151">
    <w:name w:val="xl15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52">
    <w:name w:val="xl15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53">
    <w:name w:val="xl15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54">
    <w:name w:val="xl15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55">
    <w:name w:val="xl15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top"/>
    </w:pPr>
    <w:rPr/>
  </w:style>
  <w:style w:type="paragraph" w:styleId="Xl156">
    <w:name w:val="xl15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>
      <w:b/>
      <w:bCs/>
    </w:rPr>
  </w:style>
  <w:style w:type="paragraph" w:styleId="Xl157">
    <w:name w:val="xl15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FFFF" w:val="clear"/>
      <w:suppressAutoHyphens w:val="true"/>
      <w:spacing w:before="100" w:after="100"/>
      <w:jc w:val="center"/>
    </w:pPr>
    <w:rPr>
      <w:b/>
      <w:bCs/>
    </w:rPr>
  </w:style>
  <w:style w:type="paragraph" w:styleId="Xl158">
    <w:name w:val="xl15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59">
    <w:name w:val="xl15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60">
    <w:name w:val="xl16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61">
    <w:name w:val="xl16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</w:pPr>
    <w:rPr/>
  </w:style>
  <w:style w:type="paragraph" w:styleId="Xl162">
    <w:name w:val="xl16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63">
    <w:name w:val="xl16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64">
    <w:name w:val="xl16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65">
    <w:name w:val="xl16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66">
    <w:name w:val="xl16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</w:pPr>
    <w:rPr/>
  </w:style>
  <w:style w:type="paragraph" w:styleId="Xl167">
    <w:name w:val="xl16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68">
    <w:name w:val="xl16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69">
    <w:name w:val="xl16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170">
    <w:name w:val="xl17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both"/>
    </w:pPr>
    <w:rPr/>
  </w:style>
  <w:style w:type="paragraph" w:styleId="Xl171">
    <w:name w:val="xl171"/>
    <w:basedOn w:val="Style21"/>
    <w:qFormat/>
    <w:pPr>
      <w:shd w:fill="CC99FF" w:val="clear"/>
      <w:suppressAutoHyphens w:val="true"/>
      <w:spacing w:before="100" w:after="100"/>
    </w:pPr>
    <w:rPr/>
  </w:style>
  <w:style w:type="paragraph" w:styleId="Xl172">
    <w:name w:val="xl17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center"/>
    </w:pPr>
    <w:rPr/>
  </w:style>
  <w:style w:type="paragraph" w:styleId="Xl173">
    <w:name w:val="xl17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  <w:jc w:val="center"/>
      <w:textAlignment w:val="top"/>
    </w:pPr>
    <w:rPr/>
  </w:style>
  <w:style w:type="paragraph" w:styleId="Xl174">
    <w:name w:val="xl174"/>
    <w:basedOn w:val="Style21"/>
    <w:qFormat/>
    <w:pPr>
      <w:suppressAutoHyphens w:val="true"/>
      <w:spacing w:before="100" w:after="100"/>
      <w:textAlignment w:val="top"/>
    </w:pPr>
    <w:rPr/>
  </w:style>
  <w:style w:type="paragraph" w:styleId="Xl175">
    <w:name w:val="xl175"/>
    <w:basedOn w:val="Style21"/>
    <w:qFormat/>
    <w:pPr>
      <w:suppressAutoHyphens w:val="true"/>
      <w:spacing w:before="100" w:after="100"/>
      <w:jc w:val="center"/>
      <w:textAlignment w:val="center"/>
    </w:pPr>
    <w:rPr/>
  </w:style>
  <w:style w:type="paragraph" w:styleId="Xl176">
    <w:name w:val="xl17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</w:pPr>
    <w:rPr/>
  </w:style>
  <w:style w:type="paragraph" w:styleId="Xl177">
    <w:name w:val="xl17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</w:pPr>
    <w:rPr/>
  </w:style>
  <w:style w:type="paragraph" w:styleId="Xl178">
    <w:name w:val="xl17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</w:pPr>
    <w:rPr/>
  </w:style>
  <w:style w:type="paragraph" w:styleId="Xl179">
    <w:name w:val="xl17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  <w:textAlignment w:val="center"/>
    </w:pPr>
    <w:rPr/>
  </w:style>
  <w:style w:type="paragraph" w:styleId="Xl180">
    <w:name w:val="xl18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  <w:textAlignment w:val="center"/>
    </w:pPr>
    <w:rPr/>
  </w:style>
  <w:style w:type="paragraph" w:styleId="Xl181">
    <w:name w:val="xl18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  <w:textAlignment w:val="center"/>
    </w:pPr>
    <w:rPr/>
  </w:style>
  <w:style w:type="paragraph" w:styleId="Xl182">
    <w:name w:val="xl18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  <w:jc w:val="center"/>
      <w:textAlignment w:val="center"/>
    </w:pPr>
    <w:rPr/>
  </w:style>
  <w:style w:type="paragraph" w:styleId="Xl183">
    <w:name w:val="xl18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  <w:textAlignment w:val="center"/>
    </w:pPr>
    <w:rPr>
      <w:b/>
      <w:bCs/>
    </w:rPr>
  </w:style>
  <w:style w:type="paragraph" w:styleId="Xl184">
    <w:name w:val="xl18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</w:pPr>
    <w:rPr>
      <w:b/>
      <w:bCs/>
    </w:rPr>
  </w:style>
  <w:style w:type="paragraph" w:styleId="Xl185">
    <w:name w:val="xl18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  <w:textAlignment w:val="center"/>
    </w:pPr>
    <w:rPr>
      <w:b/>
      <w:bCs/>
    </w:rPr>
  </w:style>
  <w:style w:type="paragraph" w:styleId="Xl186">
    <w:name w:val="xl18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  <w:jc w:val="center"/>
    </w:pPr>
    <w:rPr>
      <w:b/>
      <w:bCs/>
    </w:rPr>
  </w:style>
  <w:style w:type="paragraph" w:styleId="Xl187">
    <w:name w:val="xl18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66FF" w:val="clear"/>
      <w:suppressAutoHyphens w:val="true"/>
      <w:spacing w:before="100" w:after="100"/>
      <w:jc w:val="center"/>
    </w:pPr>
    <w:rPr/>
  </w:style>
  <w:style w:type="paragraph" w:styleId="Xl188">
    <w:name w:val="xl18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</w:pPr>
    <w:rPr>
      <w:rFonts w:ascii="Arial" w:hAnsi="Arial" w:cs="Arial"/>
    </w:rPr>
  </w:style>
  <w:style w:type="paragraph" w:styleId="Xl189">
    <w:name w:val="xl18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99FF" w:val="clear"/>
      <w:suppressAutoHyphens w:val="true"/>
      <w:spacing w:before="100" w:after="100"/>
    </w:pPr>
    <w:rPr>
      <w:rFonts w:ascii="Arial" w:hAnsi="Arial" w:cs="Arial"/>
    </w:rPr>
  </w:style>
  <w:style w:type="paragraph" w:styleId="Xl190">
    <w:name w:val="xl19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99CC" w:val="clear"/>
      <w:suppressAutoHyphens w:val="true"/>
      <w:spacing w:before="100" w:after="100"/>
    </w:pPr>
    <w:rPr>
      <w:rFonts w:ascii="Arial" w:hAnsi="Arial" w:cs="Arial"/>
    </w:rPr>
  </w:style>
  <w:style w:type="paragraph" w:styleId="Xl191">
    <w:name w:val="xl19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>
      <w:sz w:val="28"/>
      <w:szCs w:val="28"/>
    </w:rPr>
  </w:style>
  <w:style w:type="paragraph" w:styleId="Xl192">
    <w:name w:val="xl19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>
      <w:b/>
      <w:bCs/>
      <w:i/>
      <w:iCs/>
    </w:rPr>
  </w:style>
  <w:style w:type="paragraph" w:styleId="Xl193">
    <w:name w:val="xl19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194">
    <w:name w:val="xl194"/>
    <w:basedOn w:val="Style21"/>
    <w:qFormat/>
    <w:pPr>
      <w:suppressAutoHyphens w:val="true"/>
      <w:spacing w:before="100" w:after="100"/>
      <w:jc w:val="center"/>
      <w:textAlignment w:val="center"/>
    </w:pPr>
    <w:rPr/>
  </w:style>
  <w:style w:type="paragraph" w:styleId="Xl195">
    <w:name w:val="xl195"/>
    <w:basedOn w:val="Style21"/>
    <w:qFormat/>
    <w:pPr>
      <w:suppressAutoHyphens w:val="true"/>
      <w:spacing w:before="100" w:after="100"/>
      <w:jc w:val="center"/>
      <w:textAlignment w:val="center"/>
    </w:pPr>
    <w:rPr/>
  </w:style>
  <w:style w:type="paragraph" w:styleId="Xl196">
    <w:name w:val="xl19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>
      <w:sz w:val="28"/>
      <w:szCs w:val="28"/>
    </w:rPr>
  </w:style>
  <w:style w:type="paragraph" w:styleId="Xl197">
    <w:name w:val="xl197"/>
    <w:basedOn w:val="Style21"/>
    <w:qFormat/>
    <w:pPr>
      <w:suppressAutoHyphens w:val="true"/>
      <w:spacing w:before="100" w:after="100"/>
      <w:jc w:val="center"/>
      <w:textAlignment w:val="center"/>
    </w:pPr>
    <w:rPr/>
  </w:style>
  <w:style w:type="paragraph" w:styleId="Xl198">
    <w:name w:val="xl19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FFFF" w:val="clear"/>
      <w:suppressAutoHyphens w:val="true"/>
      <w:spacing w:before="100" w:after="100"/>
      <w:jc w:val="center"/>
      <w:textAlignment w:val="center"/>
    </w:pPr>
    <w:rPr>
      <w:b/>
      <w:bCs/>
    </w:rPr>
  </w:style>
  <w:style w:type="paragraph" w:styleId="Xl199">
    <w:name w:val="xl19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200">
    <w:name w:val="xl20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201">
    <w:name w:val="xl20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99CC" w:val="clear"/>
      <w:suppressAutoHyphens w:val="true"/>
      <w:spacing w:before="100" w:after="100"/>
      <w:jc w:val="center"/>
      <w:textAlignment w:val="top"/>
    </w:pPr>
    <w:rPr>
      <w:b/>
      <w:bCs/>
    </w:rPr>
  </w:style>
  <w:style w:type="paragraph" w:styleId="Xl202">
    <w:name w:val="xl20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</w:pPr>
    <w:rPr/>
  </w:style>
  <w:style w:type="paragraph" w:styleId="Xl203">
    <w:name w:val="xl20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</w:pPr>
    <w:rPr/>
  </w:style>
  <w:style w:type="paragraph" w:styleId="Xl204">
    <w:name w:val="xl20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99CC" w:val="clear"/>
      <w:suppressAutoHyphens w:val="true"/>
      <w:spacing w:before="100" w:after="100"/>
      <w:jc w:val="center"/>
      <w:textAlignment w:val="top"/>
    </w:pPr>
    <w:rPr>
      <w:b/>
      <w:bCs/>
    </w:rPr>
  </w:style>
  <w:style w:type="paragraph" w:styleId="Xl205">
    <w:name w:val="xl205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206">
    <w:name w:val="xl206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207">
    <w:name w:val="xl20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208">
    <w:name w:val="xl20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209">
    <w:name w:val="xl209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99CC" w:val="clear"/>
      <w:suppressAutoHyphens w:val="true"/>
      <w:spacing w:before="100" w:after="100"/>
      <w:jc w:val="center"/>
      <w:textAlignment w:val="top"/>
    </w:pPr>
    <w:rPr>
      <w:b/>
      <w:bCs/>
    </w:rPr>
  </w:style>
  <w:style w:type="paragraph" w:styleId="Xl210">
    <w:name w:val="xl210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99CC" w:val="clear"/>
      <w:suppressAutoHyphens w:val="true"/>
      <w:spacing w:before="100" w:after="100"/>
      <w:jc w:val="center"/>
      <w:textAlignment w:val="top"/>
    </w:pPr>
    <w:rPr>
      <w:b/>
      <w:bCs/>
    </w:rPr>
  </w:style>
  <w:style w:type="paragraph" w:styleId="Xl211">
    <w:name w:val="xl21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99CC" w:val="clear"/>
      <w:suppressAutoHyphens w:val="true"/>
      <w:spacing w:before="100" w:after="100"/>
      <w:jc w:val="center"/>
      <w:textAlignment w:val="top"/>
    </w:pPr>
    <w:rPr>
      <w:b/>
      <w:bCs/>
    </w:rPr>
  </w:style>
  <w:style w:type="paragraph" w:styleId="Xl212">
    <w:name w:val="xl21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99CC" w:val="clear"/>
      <w:suppressAutoHyphens w:val="true"/>
      <w:spacing w:before="100" w:after="100"/>
      <w:jc w:val="center"/>
      <w:textAlignment w:val="top"/>
    </w:pPr>
    <w:rPr>
      <w:b/>
      <w:bCs/>
    </w:rPr>
  </w:style>
  <w:style w:type="paragraph" w:styleId="Xl213">
    <w:name w:val="xl21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99CC" w:val="clear"/>
      <w:suppressAutoHyphens w:val="true"/>
      <w:spacing w:before="100" w:after="100"/>
      <w:jc w:val="center"/>
      <w:textAlignment w:val="top"/>
    </w:pPr>
    <w:rPr>
      <w:b/>
      <w:bCs/>
    </w:rPr>
  </w:style>
  <w:style w:type="paragraph" w:styleId="Xl214">
    <w:name w:val="xl21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215">
    <w:name w:val="xl215"/>
    <w:basedOn w:val="Style21"/>
    <w:qFormat/>
    <w:pP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216">
    <w:name w:val="xl216"/>
    <w:basedOn w:val="Style21"/>
    <w:qFormat/>
    <w:pPr>
      <w:shd w:fill="FFFFFF" w:val="clear"/>
      <w:suppressAutoHyphens w:val="true"/>
      <w:spacing w:before="100" w:after="100"/>
      <w:jc w:val="center"/>
      <w:textAlignment w:val="center"/>
    </w:pPr>
    <w:rPr/>
  </w:style>
  <w:style w:type="paragraph" w:styleId="Xl217">
    <w:name w:val="xl21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218">
    <w:name w:val="xl218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219">
    <w:name w:val="xl219"/>
    <w:basedOn w:val="Style21"/>
    <w:qFormat/>
    <w:pPr>
      <w:suppressAutoHyphens w:val="true"/>
      <w:spacing w:before="100" w:after="100"/>
      <w:jc w:val="center"/>
      <w:textAlignment w:val="center"/>
    </w:pPr>
    <w:rPr/>
  </w:style>
  <w:style w:type="paragraph" w:styleId="Xl220">
    <w:name w:val="xl220"/>
    <w:basedOn w:val="Style21"/>
    <w:qFormat/>
    <w:pPr>
      <w:suppressAutoHyphens w:val="true"/>
      <w:spacing w:before="100" w:after="100"/>
      <w:jc w:val="center"/>
      <w:textAlignment w:val="center"/>
    </w:pPr>
    <w:rPr/>
  </w:style>
  <w:style w:type="paragraph" w:styleId="Xl221">
    <w:name w:val="xl221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FFFF" w:val="clear"/>
      <w:suppressAutoHyphens w:val="true"/>
      <w:spacing w:before="100" w:after="100"/>
    </w:pPr>
    <w:rPr>
      <w:b/>
      <w:bCs/>
    </w:rPr>
  </w:style>
  <w:style w:type="paragraph" w:styleId="Xl222">
    <w:name w:val="xl222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FFFF" w:val="clear"/>
      <w:suppressAutoHyphens w:val="true"/>
      <w:spacing w:before="100" w:after="100"/>
    </w:pPr>
    <w:rPr>
      <w:b/>
      <w:bCs/>
    </w:rPr>
  </w:style>
  <w:style w:type="paragraph" w:styleId="Xl223">
    <w:name w:val="xl223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fill="CCFFFF" w:val="clear"/>
      <w:suppressAutoHyphens w:val="true"/>
      <w:spacing w:before="100" w:after="100"/>
    </w:pPr>
    <w:rPr>
      <w:b/>
      <w:bCs/>
    </w:rPr>
  </w:style>
  <w:style w:type="paragraph" w:styleId="Xl224">
    <w:name w:val="xl224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225">
    <w:name w:val="xl225"/>
    <w:basedOn w:val="Style21"/>
    <w:qFormat/>
    <w:pPr>
      <w:suppressAutoHyphens w:val="true"/>
      <w:spacing w:before="100" w:after="100"/>
      <w:jc w:val="center"/>
      <w:textAlignment w:val="center"/>
    </w:pPr>
    <w:rPr/>
  </w:style>
  <w:style w:type="paragraph" w:styleId="Xl226">
    <w:name w:val="xl226"/>
    <w:basedOn w:val="Style21"/>
    <w:qFormat/>
    <w:pPr>
      <w:suppressAutoHyphens w:val="true"/>
      <w:spacing w:before="100" w:after="100"/>
      <w:jc w:val="center"/>
      <w:textAlignment w:val="center"/>
    </w:pPr>
    <w:rPr/>
  </w:style>
  <w:style w:type="paragraph" w:styleId="Xl227">
    <w:name w:val="xl227"/>
    <w:basedOn w:val="Style2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/>
  </w:style>
  <w:style w:type="paragraph" w:styleId="Xl228">
    <w:name w:val="xl228"/>
    <w:basedOn w:val="Style21"/>
    <w:qFormat/>
    <w:pPr>
      <w:suppressAutoHyphens w:val="true"/>
      <w:spacing w:before="100" w:after="100"/>
      <w:jc w:val="center"/>
      <w:textAlignment w:val="center"/>
    </w:pPr>
    <w:rPr/>
  </w:style>
  <w:style w:type="paragraph" w:styleId="Xl229">
    <w:name w:val="xl229"/>
    <w:basedOn w:val="Style21"/>
    <w:qFormat/>
    <w:pPr>
      <w:suppressAutoHyphens w:val="true"/>
      <w:spacing w:before="100" w:after="100"/>
      <w:jc w:val="center"/>
      <w:textAlignment w:val="center"/>
    </w:pPr>
    <w:rPr/>
  </w:style>
  <w:style w:type="paragraph" w:styleId="22">
    <w:name w:val="Основной текст (2)"/>
    <w:basedOn w:val="Style21"/>
    <w:qFormat/>
    <w:pPr>
      <w:widowControl w:val="false"/>
      <w:shd w:fill="FFFFFF" w:val="clear"/>
      <w:suppressAutoHyphens w:val="true"/>
      <w:spacing w:lineRule="exact" w:line="298" w:before="0" w:after="300"/>
      <w:jc w:val="center"/>
    </w:pPr>
    <w:rPr>
      <w:rFonts w:ascii="Arial" w:hAnsi="Arial" w:eastAsia="Arial" w:cs="Arial"/>
      <w:b/>
      <w:bCs/>
      <w:spacing w:val="3"/>
      <w:sz w:val="23"/>
      <w:szCs w:val="23"/>
    </w:rPr>
  </w:style>
  <w:style w:type="paragraph" w:styleId="11">
    <w:name w:val="Основной текст1"/>
    <w:basedOn w:val="Style21"/>
    <w:qFormat/>
    <w:pPr>
      <w:widowControl w:val="false"/>
      <w:shd w:fill="FFFFFF" w:val="clear"/>
      <w:suppressAutoHyphens w:val="true"/>
      <w:spacing w:lineRule="exact" w:line="274" w:before="180" w:after="0"/>
      <w:jc w:val="both"/>
    </w:pPr>
    <w:rPr>
      <w:rFonts w:ascii="Arial" w:hAnsi="Arial" w:eastAsia="Arial" w:cs="Arial"/>
      <w:spacing w:val="-1"/>
      <w:sz w:val="20"/>
      <w:szCs w:val="20"/>
    </w:rPr>
  </w:style>
  <w:style w:type="paragraph" w:styleId="Style27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LibreOffice/5.1.1.3$Windows_x86 LibreOffice_project/89f508ef3ecebd2cfb8e1def0f0ba9a803b88a6d</Application>
  <Pages>1</Pages>
  <Words>447</Words>
  <Characters>2549</Characters>
  <CharactersWithSpaces>2991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2016-08-19T09:01:00Z</dcterms:created>
  <dc:creator>Reanimator Me User</dc:creator>
  <dc:description/>
  <dc:language>ru-RU</dc:language>
  <cp:lastModifiedBy>User</cp:lastModifiedBy>
  <cp:lastPrinted>2016-03-14T06:51:00Z</cp:lastPrinted>
  <dcterms:modified xsi:type="dcterms:W3CDTF">2016-09-21T12:07:00Z</dcterms:modified>
  <cp:revision>4</cp:revision>
  <dc:subject/>
  <dc:title>науки и обозначить сучителей-словес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